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spacing w:before="120" w:after="120" w:line="600" w:lineRule="exact"/>
        <w:ind w:firstLine="0" w:firstLineChars="0"/>
        <w:jc w:val="center"/>
        <w:textAlignment w:val="auto"/>
        <w:rPr>
          <w:rStyle w:val="9"/>
          <w:rFonts w:ascii="Times New Roman" w:hAnsi="Times New Roman"/>
          <w:sz w:val="32"/>
          <w:szCs w:val="32"/>
          <w:lang w:val="en-GB"/>
        </w:rPr>
      </w:pPr>
    </w:p>
    <w:p>
      <w:pPr>
        <w:pageBreakBefore w:val="0"/>
        <w:widowControl w:val="0"/>
        <w:kinsoku/>
        <w:wordWrap/>
        <w:overflowPunct/>
        <w:topLinePunct w:val="0"/>
        <w:autoSpaceDE/>
        <w:autoSpaceDN/>
        <w:bidi w:val="0"/>
        <w:spacing w:before="120" w:after="120" w:line="600" w:lineRule="exact"/>
        <w:ind w:firstLine="0" w:firstLineChars="0"/>
        <w:jc w:val="center"/>
        <w:textAlignment w:val="auto"/>
        <w:rPr>
          <w:rFonts w:ascii="Times New Roman" w:hAnsi="Times New Roman"/>
          <w:bCs/>
          <w:kern w:val="0"/>
          <w:sz w:val="32"/>
          <w:szCs w:val="32"/>
          <w:lang w:bidi="en-US"/>
        </w:rPr>
      </w:pPr>
    </w:p>
    <w:p>
      <w:pPr>
        <w:pageBreakBefore w:val="0"/>
        <w:kinsoku/>
        <w:wordWrap/>
        <w:overflowPunct/>
        <w:topLinePunct w:val="0"/>
        <w:autoSpaceDE/>
        <w:autoSpaceDN/>
        <w:bidi w:val="0"/>
        <w:adjustRightInd w:val="0"/>
        <w:snapToGrid w:val="0"/>
        <w:spacing w:line="600" w:lineRule="exact"/>
        <w:ind w:firstLine="216" w:firstLineChars="45"/>
        <w:jc w:val="center"/>
        <w:textAlignment w:val="auto"/>
        <w:rPr>
          <w:rFonts w:hint="eastAsia" w:ascii="方正小标宋简体" w:hAnsi="宋体" w:eastAsia="方正小标宋简体" w:cs="宋体"/>
          <w:color w:val="000000"/>
          <w:kern w:val="0"/>
          <w:sz w:val="48"/>
          <w:szCs w:val="48"/>
        </w:rPr>
      </w:pPr>
      <w:r>
        <w:rPr>
          <w:rFonts w:hint="eastAsia" w:ascii="方正小标宋简体" w:hAnsi="宋体" w:eastAsia="方正小标宋简体" w:cs="宋体"/>
          <w:color w:val="000000"/>
          <w:kern w:val="0"/>
          <w:sz w:val="48"/>
          <w:szCs w:val="48"/>
          <w:lang w:val="en-US" w:eastAsia="zh-CN"/>
        </w:rPr>
        <w:t>三门峡市</w:t>
      </w:r>
      <w:r>
        <w:rPr>
          <w:rFonts w:ascii="方正小标宋简体" w:hAnsi="宋体" w:eastAsia="方正小标宋简体" w:cs="宋体"/>
          <w:color w:val="000000"/>
          <w:kern w:val="0"/>
          <w:sz w:val="48"/>
          <w:szCs w:val="48"/>
        </w:rPr>
        <w:t>民政局</w:t>
      </w:r>
      <w:r>
        <w:rPr>
          <w:rFonts w:hint="eastAsia" w:ascii="方正小标宋简体" w:hAnsi="宋体" w:eastAsia="方正小标宋简体" w:cs="宋体"/>
          <w:color w:val="000000"/>
          <w:kern w:val="0"/>
          <w:sz w:val="48"/>
          <w:szCs w:val="48"/>
        </w:rPr>
        <w:t>部门整体支出绩效</w:t>
      </w:r>
    </w:p>
    <w:p>
      <w:pPr>
        <w:pageBreakBefore w:val="0"/>
        <w:kinsoku/>
        <w:wordWrap/>
        <w:overflowPunct/>
        <w:topLinePunct w:val="0"/>
        <w:autoSpaceDE/>
        <w:autoSpaceDN/>
        <w:bidi w:val="0"/>
        <w:adjustRightInd w:val="0"/>
        <w:snapToGrid w:val="0"/>
        <w:spacing w:line="600" w:lineRule="exact"/>
        <w:ind w:firstLine="216" w:firstLineChars="45"/>
        <w:jc w:val="center"/>
        <w:textAlignment w:val="auto"/>
        <w:rPr>
          <w:rFonts w:ascii="方正小标宋简体" w:hAnsi="宋体" w:eastAsia="方正小标宋简体" w:cs="宋体"/>
          <w:color w:val="000000"/>
          <w:kern w:val="0"/>
          <w:sz w:val="48"/>
          <w:szCs w:val="48"/>
        </w:rPr>
      </w:pPr>
      <w:r>
        <w:rPr>
          <w:rFonts w:hint="eastAsia" w:ascii="方正小标宋简体" w:hAnsi="宋体" w:eastAsia="方正小标宋简体" w:cs="宋体"/>
          <w:color w:val="000000"/>
          <w:kern w:val="0"/>
          <w:sz w:val="48"/>
          <w:szCs w:val="48"/>
          <w:lang w:val="en-US" w:eastAsia="zh-CN"/>
        </w:rPr>
        <w:t>自评</w:t>
      </w:r>
      <w:r>
        <w:rPr>
          <w:rFonts w:hint="eastAsia" w:ascii="方正小标宋简体" w:hAnsi="宋体" w:eastAsia="方正小标宋简体" w:cs="宋体"/>
          <w:color w:val="000000"/>
          <w:kern w:val="0"/>
          <w:sz w:val="48"/>
          <w:szCs w:val="48"/>
        </w:rPr>
        <w:t>报告</w:t>
      </w:r>
    </w:p>
    <w:p>
      <w:pPr>
        <w:pageBreakBefore w:val="0"/>
        <w:kinsoku/>
        <w:wordWrap/>
        <w:overflowPunct/>
        <w:topLinePunct w:val="0"/>
        <w:autoSpaceDE/>
        <w:autoSpaceDN/>
        <w:bidi w:val="0"/>
        <w:spacing w:line="600" w:lineRule="exact"/>
        <w:ind w:firstLine="422"/>
        <w:textAlignment w:val="auto"/>
        <w:rPr>
          <w:b/>
          <w:color w:val="000000"/>
          <w:sz w:val="32"/>
          <w:szCs w:val="32"/>
        </w:rPr>
      </w:pPr>
    </w:p>
    <w:p>
      <w:pPr>
        <w:pageBreakBefore w:val="0"/>
        <w:kinsoku/>
        <w:wordWrap/>
        <w:overflowPunct/>
        <w:topLinePunct w:val="0"/>
        <w:autoSpaceDE/>
        <w:autoSpaceDN/>
        <w:bidi w:val="0"/>
        <w:spacing w:line="600" w:lineRule="exact"/>
        <w:ind w:firstLine="422"/>
        <w:jc w:val="center"/>
        <w:textAlignment w:val="auto"/>
        <w:rPr>
          <w:b/>
          <w:color w:val="000000"/>
          <w:sz w:val="32"/>
          <w:szCs w:val="32"/>
        </w:rPr>
      </w:pPr>
    </w:p>
    <w:p>
      <w:pPr>
        <w:pageBreakBefore w:val="0"/>
        <w:kinsoku/>
        <w:wordWrap/>
        <w:overflowPunct/>
        <w:topLinePunct w:val="0"/>
        <w:autoSpaceDE/>
        <w:autoSpaceDN/>
        <w:bidi w:val="0"/>
        <w:spacing w:line="600" w:lineRule="exact"/>
        <w:ind w:firstLine="643"/>
        <w:textAlignment w:val="auto"/>
        <w:rPr>
          <w:rFonts w:ascii="仿宋_GB2312" w:eastAsia="仿宋_GB2312"/>
          <w:b/>
          <w:color w:val="000000"/>
          <w:sz w:val="32"/>
          <w:szCs w:val="32"/>
        </w:rPr>
      </w:pPr>
    </w:p>
    <w:p>
      <w:pPr>
        <w:pStyle w:val="2"/>
        <w:rPr>
          <w:rFonts w:ascii="仿宋_GB2312" w:eastAsia="仿宋_GB2312"/>
          <w:b/>
          <w:color w:val="000000"/>
          <w:sz w:val="32"/>
          <w:szCs w:val="32"/>
        </w:rPr>
      </w:pPr>
    </w:p>
    <w:p>
      <w:pPr>
        <w:pStyle w:val="2"/>
        <w:rPr>
          <w:rFonts w:ascii="仿宋_GB2312" w:eastAsia="仿宋_GB2312"/>
          <w:b/>
          <w:color w:val="000000"/>
          <w:sz w:val="32"/>
          <w:szCs w:val="32"/>
        </w:rPr>
      </w:pPr>
    </w:p>
    <w:p>
      <w:pPr>
        <w:pStyle w:val="2"/>
        <w:rPr>
          <w:rFonts w:ascii="仿宋_GB2312" w:eastAsia="仿宋_GB2312"/>
          <w:b/>
          <w:color w:val="000000"/>
          <w:sz w:val="32"/>
          <w:szCs w:val="32"/>
        </w:rPr>
      </w:pPr>
    </w:p>
    <w:p>
      <w:pPr>
        <w:pStyle w:val="2"/>
        <w:rPr>
          <w:rFonts w:ascii="仿宋_GB2312" w:eastAsia="仿宋_GB2312"/>
          <w:b/>
          <w:color w:val="000000"/>
          <w:sz w:val="32"/>
          <w:szCs w:val="32"/>
        </w:rPr>
      </w:pPr>
    </w:p>
    <w:p>
      <w:pPr>
        <w:pStyle w:val="2"/>
        <w:rPr>
          <w:rFonts w:ascii="仿宋_GB2312" w:eastAsia="仿宋_GB2312"/>
          <w:b/>
          <w:color w:val="000000"/>
          <w:sz w:val="32"/>
          <w:szCs w:val="32"/>
        </w:rPr>
      </w:pPr>
    </w:p>
    <w:p>
      <w:pPr>
        <w:pageBreakBefore w:val="0"/>
        <w:kinsoku/>
        <w:wordWrap/>
        <w:overflowPunct/>
        <w:topLinePunct w:val="0"/>
        <w:autoSpaceDE/>
        <w:autoSpaceDN/>
        <w:bidi w:val="0"/>
        <w:spacing w:before="156" w:beforeLines="50" w:line="600" w:lineRule="exact"/>
        <w:ind w:firstLine="480" w:firstLineChars="150"/>
        <w:textAlignment w:val="auto"/>
        <w:rPr>
          <w:rFonts w:hint="eastAsia" w:ascii="仿宋_GB2312" w:eastAsia="仿宋_GB2312"/>
          <w:color w:val="000000"/>
          <w:sz w:val="32"/>
          <w:szCs w:val="32"/>
          <w:u w:val="single"/>
          <w:lang w:eastAsia="zh-CN"/>
        </w:rPr>
      </w:pPr>
      <w:r>
        <w:rPr>
          <w:rFonts w:hint="eastAsia" w:ascii="仿宋_GB2312" w:eastAsia="仿宋_GB2312"/>
          <w:color w:val="000000"/>
          <w:sz w:val="32"/>
          <w:szCs w:val="32"/>
        </w:rPr>
        <w:t>部门(单位)名称</w:t>
      </w:r>
      <w:r>
        <w:rPr>
          <w:rFonts w:hint="eastAsia" w:ascii="仿宋_GB2312" w:eastAsia="仿宋_GB2312"/>
          <w:color w:val="000000"/>
          <w:sz w:val="32"/>
          <w:szCs w:val="32"/>
          <w:u w:val="single"/>
          <w:lang w:val="en-US" w:eastAsia="zh-CN"/>
        </w:rPr>
        <w:t>三门峡</w:t>
      </w:r>
      <w:r>
        <w:rPr>
          <w:rFonts w:hint="eastAsia" w:ascii="仿宋_GB2312" w:eastAsia="仿宋_GB2312"/>
          <w:color w:val="000000"/>
          <w:sz w:val="32"/>
          <w:szCs w:val="32"/>
          <w:u w:val="single"/>
        </w:rPr>
        <w:t>市民政局</w:t>
      </w:r>
    </w:p>
    <w:p>
      <w:pPr>
        <w:pageBreakBefore w:val="0"/>
        <w:kinsoku/>
        <w:wordWrap/>
        <w:overflowPunct/>
        <w:topLinePunct w:val="0"/>
        <w:autoSpaceDE/>
        <w:autoSpaceDN/>
        <w:bidi w:val="0"/>
        <w:spacing w:before="156" w:beforeLines="50" w:line="600" w:lineRule="exact"/>
        <w:ind w:firstLine="480" w:firstLineChars="150"/>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预算编码</w:t>
      </w:r>
      <w:r>
        <w:rPr>
          <w:rFonts w:hint="eastAsia" w:ascii="仿宋_GB2312" w:eastAsia="仿宋_GB2312"/>
          <w:color w:val="000000"/>
          <w:sz w:val="32"/>
          <w:szCs w:val="32"/>
          <w:u w:val="single"/>
          <w:lang w:val="en-US" w:eastAsia="zh-CN"/>
        </w:rPr>
        <w:t>7</w:t>
      </w:r>
      <w:r>
        <w:rPr>
          <w:rFonts w:ascii="仿宋_GB2312" w:eastAsia="仿宋_GB2312"/>
          <w:color w:val="000000"/>
          <w:sz w:val="32"/>
          <w:szCs w:val="32"/>
          <w:u w:val="single"/>
        </w:rPr>
        <w:t>02001</w:t>
      </w:r>
    </w:p>
    <w:p>
      <w:pPr>
        <w:pageBreakBefore w:val="0"/>
        <w:kinsoku/>
        <w:wordWrap/>
        <w:overflowPunct/>
        <w:topLinePunct w:val="0"/>
        <w:autoSpaceDE/>
        <w:autoSpaceDN/>
        <w:bidi w:val="0"/>
        <w:spacing w:before="156" w:beforeLines="50" w:line="600" w:lineRule="exact"/>
        <w:ind w:firstLine="480" w:firstLineChars="150"/>
        <w:textAlignment w:val="auto"/>
        <w:rPr>
          <w:rFonts w:ascii="仿宋_GB2312" w:eastAsia="仿宋_GB2312"/>
          <w:color w:val="000000"/>
          <w:sz w:val="32"/>
          <w:szCs w:val="32"/>
        </w:rPr>
      </w:pPr>
      <w:r>
        <w:rPr>
          <w:rFonts w:hint="eastAsia" w:ascii="仿宋_GB2312" w:eastAsia="仿宋_GB2312"/>
          <w:color w:val="000000"/>
          <w:sz w:val="32"/>
          <w:szCs w:val="32"/>
        </w:rPr>
        <w:t>评价方式：部门（单位）绩效自评</w:t>
      </w:r>
    </w:p>
    <w:p>
      <w:pPr>
        <w:pageBreakBefore w:val="0"/>
        <w:kinsoku/>
        <w:wordWrap/>
        <w:overflowPunct/>
        <w:topLinePunct w:val="0"/>
        <w:autoSpaceDE/>
        <w:autoSpaceDN/>
        <w:bidi w:val="0"/>
        <w:spacing w:before="156" w:beforeLines="50" w:line="600" w:lineRule="exact"/>
        <w:ind w:firstLine="480" w:firstLineChars="15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rPr>
        <w:t>填报人：</w:t>
      </w:r>
      <w:r>
        <w:rPr>
          <w:rFonts w:hint="eastAsia" w:ascii="仿宋_GB2312" w:eastAsia="仿宋_GB2312"/>
          <w:color w:val="000000"/>
          <w:sz w:val="32"/>
          <w:szCs w:val="32"/>
          <w:lang w:val="en-US" w:eastAsia="zh-CN"/>
        </w:rPr>
        <w:t>徐飞</w:t>
      </w:r>
    </w:p>
    <w:p>
      <w:pPr>
        <w:pageBreakBefore w:val="0"/>
        <w:kinsoku/>
        <w:wordWrap/>
        <w:overflowPunct/>
        <w:topLinePunct w:val="0"/>
        <w:autoSpaceDE/>
        <w:autoSpaceDN/>
        <w:bidi w:val="0"/>
        <w:spacing w:before="156" w:beforeLines="50" w:line="600" w:lineRule="exact"/>
        <w:ind w:firstLine="480" w:firstLineChars="15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rPr>
        <w:t>联系电话：</w:t>
      </w:r>
      <w:r>
        <w:rPr>
          <w:rFonts w:hint="eastAsia" w:ascii="仿宋_GB2312" w:eastAsia="仿宋_GB2312"/>
          <w:color w:val="000000"/>
          <w:sz w:val="32"/>
          <w:szCs w:val="32"/>
          <w:lang w:val="en-US" w:eastAsia="zh-CN"/>
        </w:rPr>
        <w:t>15236937658</w:t>
      </w:r>
    </w:p>
    <w:p>
      <w:pPr>
        <w:pageBreakBefore w:val="0"/>
        <w:kinsoku/>
        <w:wordWrap/>
        <w:overflowPunct/>
        <w:topLinePunct w:val="0"/>
        <w:autoSpaceDE/>
        <w:autoSpaceDN/>
        <w:bidi w:val="0"/>
        <w:spacing w:line="600" w:lineRule="exact"/>
        <w:ind w:firstLine="0" w:firstLineChars="0"/>
        <w:jc w:val="center"/>
        <w:textAlignment w:val="auto"/>
        <w:rPr>
          <w:rFonts w:ascii="仿宋_GB2312" w:eastAsia="仿宋_GB2312"/>
          <w:color w:val="000000"/>
          <w:sz w:val="32"/>
          <w:szCs w:val="32"/>
        </w:rPr>
      </w:pPr>
      <w:r>
        <w:rPr>
          <w:rFonts w:hint="eastAsia" w:ascii="仿宋_GB2312" w:eastAsia="仿宋_GB2312"/>
          <w:color w:val="000000"/>
          <w:sz w:val="32"/>
          <w:szCs w:val="32"/>
        </w:rPr>
        <w:t>报告日期：</w:t>
      </w:r>
      <w:r>
        <w:rPr>
          <w:rFonts w:ascii="仿宋_GB2312" w:eastAsia="仿宋_GB2312"/>
          <w:color w:val="000000"/>
          <w:sz w:val="32"/>
          <w:szCs w:val="32"/>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日</w:t>
      </w:r>
      <w:bookmarkStart w:id="0" w:name="_Toc14872237"/>
      <w:bookmarkStart w:id="1" w:name="_Toc24905_WPSOffice_Level1"/>
      <w:bookmarkStart w:id="2" w:name="_Toc6585043"/>
    </w:p>
    <w:p>
      <w:pPr>
        <w:pStyle w:val="10"/>
        <w:pageBreakBefore w:val="0"/>
        <w:widowControl w:val="0"/>
        <w:kinsoku/>
        <w:wordWrap/>
        <w:overflowPunct/>
        <w:topLinePunct w:val="0"/>
        <w:autoSpaceDE/>
        <w:autoSpaceDN/>
        <w:bidi w:val="0"/>
        <w:spacing w:before="0" w:after="0" w:line="600" w:lineRule="exact"/>
        <w:ind w:firstLine="643"/>
        <w:textAlignment w:val="auto"/>
        <w:rPr>
          <w:rFonts w:ascii="Times New Roman" w:hAnsi="Times New Roman"/>
          <w:sz w:val="32"/>
          <w:szCs w:val="32"/>
        </w:rPr>
      </w:pPr>
      <w:r>
        <w:rPr>
          <w:rFonts w:ascii="Times New Roman" w:hAnsi="Times New Roman"/>
          <w:sz w:val="32"/>
          <w:szCs w:val="32"/>
        </w:rPr>
        <w:t>一、部门概况</w:t>
      </w:r>
      <w:bookmarkEnd w:id="0"/>
      <w:bookmarkEnd w:id="1"/>
      <w:bookmarkEnd w:id="2"/>
    </w:p>
    <w:p>
      <w:pPr>
        <w:pStyle w:val="11"/>
        <w:pageBreakBefore w:val="0"/>
        <w:kinsoku/>
        <w:wordWrap/>
        <w:overflowPunct/>
        <w:topLinePunct w:val="0"/>
        <w:autoSpaceDE/>
        <w:autoSpaceDN/>
        <w:bidi w:val="0"/>
        <w:spacing w:before="0" w:after="0" w:line="600" w:lineRule="exact"/>
        <w:ind w:firstLine="562"/>
        <w:textAlignment w:val="auto"/>
        <w:rPr>
          <w:sz w:val="32"/>
          <w:szCs w:val="32"/>
        </w:rPr>
      </w:pPr>
      <w:bookmarkStart w:id="3" w:name="_Toc6585044"/>
      <w:bookmarkStart w:id="4" w:name="_Toc14872238"/>
      <w:bookmarkStart w:id="5" w:name="_Toc7624_WPSOffice_Level2"/>
      <w:r>
        <w:rPr>
          <w:sz w:val="32"/>
          <w:szCs w:val="32"/>
        </w:rPr>
        <w:t>（一）</w:t>
      </w:r>
      <w:bookmarkEnd w:id="3"/>
      <w:bookmarkEnd w:id="4"/>
      <w:bookmarkEnd w:id="5"/>
      <w:r>
        <w:rPr>
          <w:rFonts w:hint="eastAsia"/>
          <w:sz w:val="32"/>
          <w:szCs w:val="32"/>
        </w:rPr>
        <w:t>部门基本情况</w:t>
      </w:r>
    </w:p>
    <w:p>
      <w:pPr>
        <w:pStyle w:val="11"/>
        <w:pageBreakBefore w:val="0"/>
        <w:kinsoku/>
        <w:wordWrap/>
        <w:overflowPunct/>
        <w:topLinePunct w:val="0"/>
        <w:autoSpaceDE/>
        <w:autoSpaceDN/>
        <w:bidi w:val="0"/>
        <w:spacing w:before="0" w:after="0" w:line="600" w:lineRule="exact"/>
        <w:ind w:firstLine="562"/>
        <w:textAlignment w:val="auto"/>
        <w:outlineLvl w:val="2"/>
        <w:rPr>
          <w:sz w:val="32"/>
          <w:szCs w:val="32"/>
          <w:lang w:val="en-US"/>
        </w:rPr>
      </w:pPr>
      <w:bookmarkStart w:id="6" w:name="_Toc6585045"/>
      <w:bookmarkStart w:id="7" w:name="_Toc24905_WPSOffice_Level2"/>
      <w:bookmarkStart w:id="8" w:name="_Toc14872239"/>
      <w:r>
        <w:rPr>
          <w:sz w:val="32"/>
          <w:szCs w:val="32"/>
          <w:lang w:val="en-US"/>
        </w:rPr>
        <w:t>1</w:t>
      </w:r>
      <w:r>
        <w:rPr>
          <w:rFonts w:hint="eastAsia"/>
          <w:sz w:val="32"/>
          <w:szCs w:val="32"/>
          <w:lang w:val="en-US"/>
        </w:rPr>
        <w:t>、机构设置</w:t>
      </w:r>
    </w:p>
    <w:p>
      <w:pPr>
        <w:pStyle w:val="12"/>
        <w:pageBreakBefore w:val="0"/>
        <w:kinsoku/>
        <w:wordWrap/>
        <w:overflowPunct/>
        <w:topLinePunct w:val="0"/>
        <w:autoSpaceDE/>
        <w:autoSpaceDN/>
        <w:bidi w:val="0"/>
        <w:spacing w:line="600" w:lineRule="exact"/>
        <w:textAlignment w:val="auto"/>
        <w:rPr>
          <w:rFonts w:hint="default" w:ascii="仿宋_GB2312" w:eastAsia="仿宋_GB2312"/>
          <w:color w:val="000000"/>
          <w:sz w:val="32"/>
          <w:szCs w:val="32"/>
          <w:lang w:val="en-US" w:eastAsia="zh-CN"/>
        </w:rPr>
      </w:pPr>
      <w:r>
        <w:rPr>
          <w:rFonts w:hint="eastAsia" w:ascii="仿宋_GB2312"/>
          <w:sz w:val="32"/>
          <w:szCs w:val="32"/>
          <w:lang w:eastAsia="zh-CN"/>
        </w:rPr>
        <w:t>三门峡</w:t>
      </w:r>
      <w:r>
        <w:rPr>
          <w:rFonts w:hint="eastAsia" w:ascii="仿宋_GB2312"/>
          <w:sz w:val="32"/>
          <w:szCs w:val="32"/>
        </w:rPr>
        <w:t>市民政局是市政府工作部门，为正</w:t>
      </w:r>
      <w:r>
        <w:rPr>
          <w:rFonts w:hint="eastAsia" w:ascii="仿宋_GB2312"/>
          <w:sz w:val="32"/>
          <w:szCs w:val="32"/>
          <w:lang w:val="en-US" w:eastAsia="zh-CN"/>
        </w:rPr>
        <w:t>处</w:t>
      </w:r>
      <w:r>
        <w:rPr>
          <w:rFonts w:hint="eastAsia" w:ascii="仿宋_GB2312"/>
          <w:sz w:val="32"/>
          <w:szCs w:val="32"/>
        </w:rPr>
        <w:t>级</w:t>
      </w:r>
      <w:r>
        <w:rPr>
          <w:rFonts w:hint="eastAsia" w:ascii="仿宋_GB2312"/>
          <w:sz w:val="32"/>
          <w:szCs w:val="32"/>
          <w:lang w:eastAsia="zh-CN"/>
        </w:rPr>
        <w:t>。</w:t>
      </w:r>
      <w:r>
        <w:rPr>
          <w:rFonts w:hint="eastAsia" w:ascii="仿宋_GB2312" w:eastAsia="仿宋_GB2312"/>
          <w:color w:val="000000"/>
          <w:sz w:val="32"/>
          <w:szCs w:val="32"/>
        </w:rPr>
        <w:t>三门峡市民政局机关下列1</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个内设</w:t>
      </w:r>
      <w:r>
        <w:rPr>
          <w:rFonts w:hint="eastAsia" w:ascii="仿宋_GB2312" w:eastAsia="仿宋_GB2312"/>
          <w:color w:val="000000"/>
          <w:sz w:val="32"/>
          <w:szCs w:val="32"/>
          <w:lang w:eastAsia="zh-CN"/>
        </w:rPr>
        <w:t>机构，包括办公室、规划财务科、</w:t>
      </w:r>
      <w:r>
        <w:rPr>
          <w:rFonts w:hint="eastAsia" w:ascii="仿宋_GB2312" w:eastAsia="仿宋_GB2312"/>
          <w:color w:val="000000"/>
          <w:sz w:val="32"/>
          <w:szCs w:val="32"/>
        </w:rPr>
        <w:t>社会组织管理科</w:t>
      </w:r>
      <w:r>
        <w:rPr>
          <w:rFonts w:hint="eastAsia" w:ascii="仿宋_GB2312" w:eastAsia="仿宋_GB2312"/>
          <w:color w:val="000000"/>
          <w:sz w:val="32"/>
          <w:szCs w:val="32"/>
          <w:lang w:eastAsia="zh-CN"/>
        </w:rPr>
        <w:t>、</w:t>
      </w:r>
      <w:r>
        <w:rPr>
          <w:rFonts w:hint="eastAsia" w:ascii="仿宋_GB2312" w:eastAsia="仿宋_GB2312"/>
          <w:color w:val="000000"/>
          <w:sz w:val="32"/>
          <w:szCs w:val="32"/>
        </w:rPr>
        <w:t>社会救助科</w:t>
      </w:r>
      <w:r>
        <w:rPr>
          <w:rFonts w:hint="eastAsia" w:ascii="仿宋_GB2312" w:eastAsia="仿宋_GB2312"/>
          <w:color w:val="000000"/>
          <w:sz w:val="32"/>
          <w:szCs w:val="32"/>
          <w:lang w:eastAsia="zh-CN"/>
        </w:rPr>
        <w:t>、</w:t>
      </w:r>
      <w:r>
        <w:rPr>
          <w:rFonts w:hint="eastAsia" w:ascii="仿宋_GB2312" w:eastAsia="仿宋_GB2312"/>
          <w:color w:val="000000"/>
          <w:sz w:val="32"/>
          <w:szCs w:val="32"/>
        </w:rPr>
        <w:t>基层政权建设和社区治理科</w:t>
      </w:r>
      <w:r>
        <w:rPr>
          <w:rFonts w:hint="eastAsia" w:ascii="仿宋_GB2312" w:eastAsia="仿宋_GB2312"/>
          <w:color w:val="000000"/>
          <w:sz w:val="32"/>
          <w:szCs w:val="32"/>
          <w:lang w:eastAsia="zh-CN"/>
        </w:rPr>
        <w:t>、</w:t>
      </w:r>
      <w:r>
        <w:rPr>
          <w:rFonts w:hint="eastAsia" w:ascii="仿宋_GB2312" w:eastAsia="仿宋_GB2312"/>
          <w:color w:val="000000"/>
          <w:sz w:val="32"/>
          <w:szCs w:val="32"/>
        </w:rPr>
        <w:t>区划地名科</w:t>
      </w:r>
      <w:r>
        <w:rPr>
          <w:rFonts w:hint="eastAsia" w:ascii="仿宋_GB2312" w:eastAsia="仿宋_GB2312"/>
          <w:color w:val="000000"/>
          <w:sz w:val="32"/>
          <w:szCs w:val="32"/>
          <w:lang w:eastAsia="zh-CN"/>
        </w:rPr>
        <w:t>、</w:t>
      </w:r>
      <w:r>
        <w:rPr>
          <w:rFonts w:hint="eastAsia" w:ascii="仿宋_GB2312" w:eastAsia="仿宋_GB2312"/>
          <w:color w:val="000000"/>
          <w:sz w:val="32"/>
          <w:szCs w:val="32"/>
        </w:rPr>
        <w:t>社会事务科</w:t>
      </w:r>
      <w:r>
        <w:rPr>
          <w:rFonts w:hint="eastAsia" w:ascii="仿宋_GB2312" w:eastAsia="仿宋_GB2312"/>
          <w:color w:val="000000"/>
          <w:sz w:val="32"/>
          <w:szCs w:val="32"/>
          <w:lang w:eastAsia="zh-CN"/>
        </w:rPr>
        <w:t>、</w:t>
      </w:r>
      <w:r>
        <w:rPr>
          <w:rFonts w:hint="eastAsia" w:ascii="仿宋_GB2312" w:eastAsia="仿宋_GB2312"/>
          <w:color w:val="000000"/>
          <w:sz w:val="32"/>
          <w:szCs w:val="32"/>
        </w:rPr>
        <w:t>养老服务科</w:t>
      </w:r>
      <w:r>
        <w:rPr>
          <w:rFonts w:hint="eastAsia" w:ascii="仿宋_GB2312" w:eastAsia="仿宋_GB2312"/>
          <w:color w:val="000000"/>
          <w:sz w:val="32"/>
          <w:szCs w:val="32"/>
          <w:lang w:eastAsia="zh-CN"/>
        </w:rPr>
        <w:t>、</w:t>
      </w:r>
      <w:r>
        <w:rPr>
          <w:rFonts w:hint="eastAsia" w:ascii="仿宋_GB2312" w:eastAsia="仿宋_GB2312"/>
          <w:color w:val="000000"/>
          <w:sz w:val="32"/>
          <w:szCs w:val="32"/>
        </w:rPr>
        <w:t>儿童福利科</w:t>
      </w:r>
      <w:r>
        <w:rPr>
          <w:rFonts w:hint="eastAsia" w:ascii="仿宋_GB2312" w:eastAsia="仿宋_GB2312"/>
          <w:color w:val="000000"/>
          <w:sz w:val="32"/>
          <w:szCs w:val="32"/>
          <w:lang w:eastAsia="zh-CN"/>
        </w:rPr>
        <w:t>、</w:t>
      </w:r>
      <w:r>
        <w:rPr>
          <w:rFonts w:hint="eastAsia" w:ascii="仿宋_GB2312" w:eastAsia="仿宋_GB2312"/>
          <w:color w:val="000000"/>
          <w:sz w:val="32"/>
          <w:szCs w:val="32"/>
        </w:rPr>
        <w:t>慈善事业促进和社会工作科</w:t>
      </w:r>
      <w:r>
        <w:rPr>
          <w:rFonts w:hint="eastAsia" w:ascii="仿宋_GB2312" w:eastAsia="仿宋_GB2312"/>
          <w:color w:val="000000"/>
          <w:sz w:val="32"/>
          <w:szCs w:val="32"/>
          <w:lang w:eastAsia="zh-CN"/>
        </w:rPr>
        <w:t>、</w:t>
      </w:r>
      <w:r>
        <w:rPr>
          <w:rFonts w:hint="eastAsia" w:ascii="仿宋_GB2312" w:eastAsia="仿宋_GB2312"/>
          <w:color w:val="000000"/>
          <w:sz w:val="32"/>
          <w:szCs w:val="32"/>
        </w:rPr>
        <w:t>人事教育科</w:t>
      </w:r>
      <w:r>
        <w:rPr>
          <w:rFonts w:hint="eastAsia" w:ascii="仿宋_GB2312" w:eastAsia="仿宋_GB2312"/>
          <w:color w:val="000000"/>
          <w:sz w:val="32"/>
          <w:szCs w:val="32"/>
          <w:lang w:eastAsia="zh-CN"/>
        </w:rPr>
        <w:t>、</w:t>
      </w:r>
      <w:r>
        <w:rPr>
          <w:rFonts w:hint="eastAsia" w:ascii="仿宋_GB2312" w:eastAsia="仿宋_GB2312"/>
          <w:color w:val="000000"/>
          <w:sz w:val="32"/>
          <w:szCs w:val="32"/>
        </w:rPr>
        <w:t>政务服务科</w:t>
      </w:r>
      <w:r>
        <w:rPr>
          <w:rFonts w:hint="eastAsia" w:ascii="仿宋_GB2312" w:eastAsia="仿宋_GB2312"/>
          <w:color w:val="000000"/>
          <w:sz w:val="32"/>
          <w:szCs w:val="32"/>
          <w:lang w:eastAsia="zh-CN"/>
        </w:rPr>
        <w:t>、</w:t>
      </w:r>
      <w:r>
        <w:rPr>
          <w:rFonts w:hint="eastAsia" w:ascii="仿宋_GB2312" w:eastAsia="仿宋_GB2312"/>
          <w:color w:val="000000"/>
          <w:sz w:val="32"/>
          <w:szCs w:val="32"/>
        </w:rPr>
        <w:t>中共三门峡市社会组织工作委员会办公室</w:t>
      </w:r>
      <w:r>
        <w:rPr>
          <w:rFonts w:hint="eastAsia" w:ascii="仿宋_GB2312" w:eastAsia="仿宋_GB2312"/>
          <w:color w:val="000000"/>
          <w:sz w:val="32"/>
          <w:szCs w:val="32"/>
          <w:lang w:eastAsia="zh-CN"/>
        </w:rPr>
        <w:t>和机关党委。</w:t>
      </w:r>
      <w:r>
        <w:rPr>
          <w:rFonts w:hint="eastAsia" w:ascii="仿宋_GB2312" w:eastAsia="仿宋_GB2312"/>
          <w:color w:val="000000"/>
          <w:sz w:val="32"/>
          <w:szCs w:val="32"/>
          <w:lang w:val="en-US" w:eastAsia="zh-CN"/>
        </w:rPr>
        <w:t>下设二级事业单位8个，分别是：三门峡市救助管理站、三门峡市社会福利院、三门峡市殡葬管理所、三门峡市慈善总会办公室、三门峡市低收入家庭经济状况核对中心、三门峡市殡仪馆、三门峡市康复医院、三门峡市养老服务中心。</w:t>
      </w:r>
    </w:p>
    <w:p>
      <w:pPr>
        <w:pStyle w:val="11"/>
        <w:pageBreakBefore w:val="0"/>
        <w:kinsoku/>
        <w:wordWrap/>
        <w:overflowPunct/>
        <w:topLinePunct w:val="0"/>
        <w:autoSpaceDE/>
        <w:autoSpaceDN/>
        <w:bidi w:val="0"/>
        <w:spacing w:before="0" w:after="0" w:line="600" w:lineRule="exact"/>
        <w:ind w:firstLine="562"/>
        <w:textAlignment w:val="auto"/>
        <w:outlineLvl w:val="2"/>
        <w:rPr>
          <w:sz w:val="32"/>
          <w:szCs w:val="32"/>
          <w:lang w:val="en-US"/>
        </w:rPr>
      </w:pPr>
      <w:r>
        <w:rPr>
          <w:sz w:val="32"/>
          <w:szCs w:val="32"/>
          <w:lang w:val="en-US"/>
        </w:rPr>
        <w:t>2</w:t>
      </w:r>
      <w:r>
        <w:rPr>
          <w:rFonts w:hint="eastAsia"/>
          <w:sz w:val="32"/>
          <w:szCs w:val="32"/>
          <w:lang w:val="en-US"/>
        </w:rPr>
        <w:t>、部门人员情况</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lang w:eastAsia="zh-CN"/>
        </w:rPr>
        <w:t>三门峡</w:t>
      </w:r>
      <w:r>
        <w:rPr>
          <w:rFonts w:hint="eastAsia"/>
          <w:sz w:val="32"/>
          <w:szCs w:val="32"/>
        </w:rPr>
        <w:t>市民政局编制共</w:t>
      </w:r>
      <w:r>
        <w:rPr>
          <w:rFonts w:hint="eastAsia"/>
          <w:sz w:val="32"/>
          <w:szCs w:val="32"/>
          <w:lang w:val="en-US" w:eastAsia="zh-CN"/>
        </w:rPr>
        <w:t>1</w:t>
      </w:r>
      <w:r>
        <w:rPr>
          <w:sz w:val="32"/>
          <w:szCs w:val="32"/>
        </w:rPr>
        <w:t>6</w:t>
      </w:r>
      <w:r>
        <w:rPr>
          <w:rFonts w:hint="eastAsia"/>
          <w:sz w:val="32"/>
          <w:szCs w:val="32"/>
          <w:lang w:val="en-US" w:eastAsia="zh-CN"/>
        </w:rPr>
        <w:t>7</w:t>
      </w:r>
      <w:r>
        <w:rPr>
          <w:rFonts w:hint="eastAsia"/>
          <w:sz w:val="32"/>
          <w:szCs w:val="32"/>
        </w:rPr>
        <w:t>人；截至</w:t>
      </w:r>
      <w:r>
        <w:rPr>
          <w:sz w:val="32"/>
          <w:szCs w:val="32"/>
        </w:rPr>
        <w:t>20</w:t>
      </w:r>
      <w:r>
        <w:rPr>
          <w:rFonts w:hint="eastAsia"/>
          <w:sz w:val="32"/>
          <w:szCs w:val="32"/>
          <w:lang w:val="en-US" w:eastAsia="zh-CN"/>
        </w:rPr>
        <w:t>21</w:t>
      </w:r>
      <w:r>
        <w:rPr>
          <w:rFonts w:hint="eastAsia"/>
          <w:sz w:val="32"/>
          <w:szCs w:val="32"/>
        </w:rPr>
        <w:t>年底，在职人数为</w:t>
      </w:r>
      <w:r>
        <w:rPr>
          <w:rFonts w:hint="eastAsia"/>
          <w:sz w:val="32"/>
          <w:szCs w:val="32"/>
          <w:lang w:val="en-US" w:eastAsia="zh-CN"/>
        </w:rPr>
        <w:t>147</w:t>
      </w:r>
      <w:r>
        <w:rPr>
          <w:rFonts w:hint="eastAsia"/>
          <w:sz w:val="32"/>
          <w:szCs w:val="32"/>
        </w:rPr>
        <w:t>人；事业编制人数</w:t>
      </w:r>
      <w:r>
        <w:rPr>
          <w:rFonts w:hint="eastAsia"/>
          <w:sz w:val="32"/>
          <w:szCs w:val="32"/>
          <w:lang w:val="en-US" w:eastAsia="zh-CN"/>
        </w:rPr>
        <w:t>120</w:t>
      </w:r>
      <w:r>
        <w:rPr>
          <w:rFonts w:hint="eastAsia"/>
          <w:sz w:val="32"/>
          <w:szCs w:val="32"/>
        </w:rPr>
        <w:t>人，行政编制人数</w:t>
      </w:r>
      <w:r>
        <w:rPr>
          <w:rFonts w:hint="eastAsia"/>
          <w:sz w:val="32"/>
          <w:szCs w:val="32"/>
          <w:lang w:val="en-US" w:eastAsia="zh-CN"/>
        </w:rPr>
        <w:t>27</w:t>
      </w:r>
      <w:r>
        <w:rPr>
          <w:rFonts w:hint="eastAsia"/>
          <w:sz w:val="32"/>
          <w:szCs w:val="32"/>
        </w:rPr>
        <w:t>人。</w:t>
      </w:r>
    </w:p>
    <w:p>
      <w:pPr>
        <w:pStyle w:val="12"/>
        <w:pageBreakBefore w:val="0"/>
        <w:kinsoku/>
        <w:wordWrap/>
        <w:overflowPunct/>
        <w:topLinePunct w:val="0"/>
        <w:autoSpaceDE/>
        <w:autoSpaceDN/>
        <w:bidi w:val="0"/>
        <w:spacing w:line="600" w:lineRule="exact"/>
        <w:ind w:firstLine="562"/>
        <w:textAlignment w:val="auto"/>
        <w:rPr>
          <w:b/>
          <w:sz w:val="32"/>
          <w:szCs w:val="32"/>
        </w:rPr>
      </w:pPr>
      <w:r>
        <w:rPr>
          <w:b/>
          <w:sz w:val="32"/>
          <w:szCs w:val="32"/>
        </w:rPr>
        <w:t>3</w:t>
      </w:r>
      <w:r>
        <w:rPr>
          <w:rFonts w:hint="eastAsia"/>
          <w:b/>
          <w:sz w:val="32"/>
          <w:szCs w:val="32"/>
        </w:rPr>
        <w:t>、部门职能</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lang w:eastAsia="zh-CN"/>
        </w:rPr>
        <w:t>三门峡</w:t>
      </w:r>
      <w:r>
        <w:rPr>
          <w:rFonts w:hint="eastAsia"/>
          <w:sz w:val="32"/>
          <w:szCs w:val="32"/>
        </w:rPr>
        <w:t>市民政局贯彻落实党中央关于民政工作的方针政策和决策部署，在履行职责过程中坚持和加强党对民政工作的集中统一领导。主要职责是：</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（一）贯彻落实国家关于民政工作的法律法规，拟订全市民政事业发展规划和有关规范性文件，并组织实施和监督检查。</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（二）贯彻落实社会团体、基金会、社会服务机构等社会组织登记和监督管理政策；依法对全市社会组织进行登记管理和执法监督；指导全市社会组织党的建设工作。</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（三）拟订全市社会救助发展规划，统筹社会救助体系建设；负责城乡居民最低生活保障、特困人员救助供养、临时救助、生活无着流浪乞讨人员救助工作。</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（四）贯彻落实城乡基层群众自治建设和社区治理政策;指导城乡社区治理体系和治理能力建设;提出加强和改进城乡基层政权建设的建议，推动基层民主政治建设。</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（五）贯彻落实行政区划、行政区域界限管理和地名管理政策；负责全市行政区域界线管理工作；负责申报村以上行政区域的设立、撤销、调整、更名和界线变更等工作；负责地名管理工作。</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（六）负责全市婚姻管理政策的组织实施，推进婚俗改革。</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（七）负责全市殡葬管理政策、服务规范的组织实施，推进殡葬改革。</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（八）拟订全市残疾人权益保护政策，统筹推进残疾人福利制度建设。</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（九）拟订全市儿童福利、孤弃儿童保障、儿童收养、儿童救助保护政策，健全农村留守儿童关爱服务体系和困境儿童保障制度。</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（十）组织拟订全市促进慈善事业发展规划；指导社会捐助工作。</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（十一）拟订全市社会工作、志愿服务政策和标准，会同有关部门推进社会工作人才队伍建设和志愿者队伍建设。</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rPr>
        <w:t>（十二）拟订全市养老服务体系建设规划并组织实施；负责统筹推进、督促指导、监督管理养老服务工作；承担老年人福利和特殊困难老年人救助工作。</w:t>
      </w:r>
    </w:p>
    <w:p>
      <w:pPr>
        <w:pStyle w:val="12"/>
        <w:pageBreakBefore w:val="0"/>
        <w:kinsoku/>
        <w:wordWrap/>
        <w:overflowPunct/>
        <w:topLinePunct w:val="0"/>
        <w:autoSpaceDE/>
        <w:autoSpaceDN/>
        <w:bidi w:val="0"/>
        <w:spacing w:line="600" w:lineRule="exact"/>
        <w:ind w:firstLine="562"/>
        <w:textAlignment w:val="auto"/>
        <w:rPr>
          <w:b/>
          <w:sz w:val="32"/>
          <w:szCs w:val="32"/>
        </w:rPr>
      </w:pPr>
      <w:r>
        <w:rPr>
          <w:b/>
          <w:sz w:val="32"/>
          <w:szCs w:val="32"/>
        </w:rPr>
        <w:t>4</w:t>
      </w:r>
      <w:r>
        <w:rPr>
          <w:rFonts w:hint="eastAsia"/>
          <w:b/>
          <w:sz w:val="32"/>
          <w:szCs w:val="32"/>
        </w:rPr>
        <w:t>、工作计划</w:t>
      </w:r>
    </w:p>
    <w:p>
      <w:pPr>
        <w:pageBreakBefore w:val="0"/>
        <w:kinsoku/>
        <w:wordWrap/>
        <w:overflowPunct/>
        <w:topLinePunct w:val="0"/>
        <w:autoSpaceDE/>
        <w:autoSpaceDN/>
        <w:bidi w:val="0"/>
        <w:spacing w:after="0" w:line="600" w:lineRule="exact"/>
        <w:ind w:firstLine="560"/>
        <w:textAlignment w:val="auto"/>
        <w:rPr>
          <w:rFonts w:ascii="Times New Roman" w:hAnsi="Times New Roman" w:eastAsia="仿宋_GB2312"/>
          <w:sz w:val="32"/>
          <w:szCs w:val="32"/>
        </w:rPr>
      </w:pPr>
      <w:r>
        <w:rPr>
          <w:rFonts w:hint="eastAsia" w:ascii="Times New Roman" w:hAnsi="Times New Roman" w:eastAsia="仿宋_GB2312"/>
          <w:sz w:val="32"/>
          <w:szCs w:val="32"/>
        </w:rPr>
        <w:t>20</w:t>
      </w:r>
      <w:r>
        <w:rPr>
          <w:rFonts w:hint="eastAsia" w:ascii="Times New Roman" w:hAnsi="Times New Roman" w:eastAsia="仿宋_GB2312"/>
          <w:sz w:val="32"/>
          <w:szCs w:val="32"/>
          <w:lang w:val="en-US" w:eastAsia="zh-CN"/>
        </w:rPr>
        <w:t>21</w:t>
      </w:r>
      <w:r>
        <w:rPr>
          <w:rFonts w:hint="eastAsia" w:ascii="Times New Roman" w:hAnsi="Times New Roman" w:eastAsia="仿宋_GB2312"/>
          <w:sz w:val="32"/>
          <w:szCs w:val="32"/>
        </w:rPr>
        <w:t>年</w:t>
      </w:r>
      <w:r>
        <w:rPr>
          <w:rFonts w:hint="eastAsia" w:ascii="Times New Roman" w:hAnsi="Times New Roman" w:eastAsia="仿宋_GB2312"/>
          <w:sz w:val="32"/>
          <w:szCs w:val="32"/>
          <w:lang w:eastAsia="zh-CN"/>
        </w:rPr>
        <w:t>三门峡</w:t>
      </w:r>
      <w:r>
        <w:rPr>
          <w:rFonts w:hint="eastAsia" w:ascii="Times New Roman" w:hAnsi="Times New Roman" w:eastAsia="仿宋_GB2312"/>
          <w:sz w:val="32"/>
          <w:szCs w:val="32"/>
        </w:rPr>
        <w:t>市民政局工作的总体思路是：深入学习宣传贯彻党的十九大精神，以习近平新时代中国特色社会主义思想为指导，以“十</w:t>
      </w:r>
      <w:r>
        <w:rPr>
          <w:rFonts w:hint="eastAsia" w:ascii="Times New Roman" w:hAnsi="Times New Roman" w:eastAsia="仿宋_GB2312"/>
          <w:sz w:val="32"/>
          <w:szCs w:val="32"/>
          <w:lang w:val="en-US" w:eastAsia="zh-CN"/>
        </w:rPr>
        <w:t>四</w:t>
      </w:r>
      <w:r>
        <w:rPr>
          <w:rFonts w:hint="eastAsia" w:ascii="Times New Roman" w:hAnsi="Times New Roman" w:eastAsia="仿宋_GB2312"/>
          <w:sz w:val="32"/>
          <w:szCs w:val="32"/>
        </w:rPr>
        <w:t>五”加快民政工作规划纲要为统领，围绕工作思路和市委、市政府中心工作，</w:t>
      </w:r>
      <w:r>
        <w:rPr>
          <w:rFonts w:ascii="Times New Roman" w:hAnsi="Times New Roman" w:eastAsia="仿宋_GB2312"/>
          <w:sz w:val="32"/>
          <w:szCs w:val="32"/>
        </w:rPr>
        <w:t>解放思想</w:t>
      </w:r>
      <w:r>
        <w:rPr>
          <w:rFonts w:hint="eastAsia" w:ascii="Times New Roman" w:hAnsi="Times New Roman" w:eastAsia="仿宋_GB2312"/>
          <w:sz w:val="32"/>
          <w:szCs w:val="32"/>
        </w:rPr>
        <w:t>，</w:t>
      </w:r>
      <w:r>
        <w:rPr>
          <w:rFonts w:ascii="Times New Roman" w:hAnsi="Times New Roman" w:eastAsia="仿宋_GB2312"/>
          <w:sz w:val="32"/>
          <w:szCs w:val="32"/>
        </w:rPr>
        <w:t>创新发展，全力抓好残</w:t>
      </w:r>
      <w:r>
        <w:rPr>
          <w:rFonts w:hint="eastAsia" w:ascii="Times New Roman" w:hAnsi="Times New Roman" w:eastAsia="仿宋_GB2312"/>
          <w:sz w:val="32"/>
          <w:szCs w:val="32"/>
        </w:rPr>
        <w:t>强化基本民生保障职能，为困难群众、孤老孤残孤儿等特殊群体提供基本社会服务，促进资源向薄弱地区、领域、环节倾斜。统筹城乡低保制度，增强特困人员供养机构服务保障能力；加快建立农村留守老年人关爱服务体系，进一步完善残疾人，农村留守儿童关爱服务与保障政策。积极培育社会组织、社会工作者等多元参与主体，搭建基层社会治理和社区公共服务平台。深化“放管服”改革，以“一网通办”前提下“最多跑一次”改革为抓手，简化优化审批服务流程，提高审批服务效率</w:t>
      </w:r>
      <w:r>
        <w:rPr>
          <w:rFonts w:ascii="Times New Roman" w:hAnsi="Times New Roman" w:eastAsia="仿宋_GB2312"/>
          <w:sz w:val="32"/>
          <w:szCs w:val="32"/>
        </w:rPr>
        <w:t>等各项工作，推动</w:t>
      </w:r>
      <w:r>
        <w:rPr>
          <w:rFonts w:hint="eastAsia" w:ascii="Times New Roman" w:hAnsi="Times New Roman" w:eastAsia="仿宋_GB2312"/>
          <w:sz w:val="32"/>
          <w:szCs w:val="32"/>
        </w:rPr>
        <w:t>全市民政</w:t>
      </w:r>
      <w:r>
        <w:rPr>
          <w:rFonts w:ascii="Times New Roman" w:hAnsi="Times New Roman" w:eastAsia="仿宋_GB2312"/>
          <w:sz w:val="32"/>
          <w:szCs w:val="32"/>
        </w:rPr>
        <w:t>工作再上新台阶。</w:t>
      </w:r>
    </w:p>
    <w:p>
      <w:pPr>
        <w:pageBreakBefore w:val="0"/>
        <w:kinsoku/>
        <w:wordWrap/>
        <w:overflowPunct/>
        <w:topLinePunct w:val="0"/>
        <w:autoSpaceDE/>
        <w:autoSpaceDN/>
        <w:bidi w:val="0"/>
        <w:spacing w:after="0" w:line="600" w:lineRule="exact"/>
        <w:ind w:firstLine="560"/>
        <w:textAlignment w:val="auto"/>
        <w:rPr>
          <w:rFonts w:ascii="Times New Roman" w:hAnsi="Times New Roman" w:eastAsia="仿宋_GB2312"/>
          <w:sz w:val="32"/>
          <w:szCs w:val="32"/>
        </w:rPr>
      </w:pPr>
      <w:r>
        <w:rPr>
          <w:rFonts w:hint="eastAsia" w:ascii="Times New Roman" w:hAnsi="Times New Roman" w:eastAsia="仿宋_GB2312"/>
          <w:sz w:val="32"/>
          <w:szCs w:val="32"/>
        </w:rPr>
        <w:t>结合民政职能工作，创造良好的环境和条件，</w:t>
      </w:r>
      <w:r>
        <w:rPr>
          <w:rFonts w:hint="eastAsia" w:ascii="Times New Roman" w:hAnsi="Times New Roman" w:eastAsia="仿宋_GB2312"/>
          <w:sz w:val="32"/>
          <w:szCs w:val="32"/>
          <w:lang w:eastAsia="zh-CN"/>
        </w:rPr>
        <w:t>三门峡</w:t>
      </w:r>
      <w:r>
        <w:rPr>
          <w:rFonts w:hint="eastAsia" w:ascii="Times New Roman" w:hAnsi="Times New Roman" w:eastAsia="仿宋_GB2312"/>
          <w:sz w:val="32"/>
          <w:szCs w:val="32"/>
        </w:rPr>
        <w:t>市民政局整体2</w:t>
      </w:r>
      <w:r>
        <w:rPr>
          <w:rFonts w:ascii="Times New Roman" w:hAnsi="Times New Roman" w:eastAsia="仿宋_GB2312"/>
          <w:sz w:val="32"/>
          <w:szCs w:val="32"/>
        </w:rPr>
        <w:t>0</w:t>
      </w:r>
      <w:r>
        <w:rPr>
          <w:rFonts w:hint="eastAsia" w:ascii="Times New Roman" w:hAnsi="Times New Roman" w:eastAsia="仿宋_GB2312"/>
          <w:sz w:val="32"/>
          <w:szCs w:val="32"/>
          <w:lang w:val="en-US" w:eastAsia="zh-CN"/>
        </w:rPr>
        <w:t>21</w:t>
      </w:r>
      <w:r>
        <w:rPr>
          <w:rFonts w:hint="eastAsia" w:ascii="Times New Roman" w:hAnsi="Times New Roman" w:eastAsia="仿宋_GB2312"/>
          <w:sz w:val="32"/>
          <w:szCs w:val="32"/>
        </w:rPr>
        <w:t>年度工作计划如下：</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根据《三门峡市委办公室三门峡市人民政府办公室关于印发&lt;三门峡市民政局职能配置内设机构和人员编制规定&gt;的通知》（三办文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20</w:t>
      </w:r>
      <w:r>
        <w:rPr>
          <w:rFonts w:hint="eastAsia" w:ascii="Times New Roman" w:hAnsi="Times New Roman" w:eastAsia="仿宋_GB2312" w:cs="Times New Roman"/>
          <w:sz w:val="32"/>
          <w:szCs w:val="32"/>
          <w:lang w:val="en-US" w:eastAsia="zh-CN"/>
        </w:rPr>
        <w:t>19</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36号）文件规定，本部门主要职责是：</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（一）</w:t>
      </w:r>
      <w:r>
        <w:rPr>
          <w:rFonts w:hint="eastAsia" w:ascii="Times New Roman" w:hAnsi="Times New Roman" w:eastAsia="仿宋_GB2312" w:cs="Times New Roman"/>
          <w:sz w:val="32"/>
          <w:szCs w:val="32"/>
        </w:rPr>
        <w:t>拟订全市民政事业发展规章和政策草案，规划并组织实施。</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rPr>
        <w:t>拟订全市社会团体、基金会、社会服务机构等社会组织登记和监督管理办法并组织实施；依法对全市社会组织进行登记管理和执法监督。</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rPr>
        <w:t>拟订全市社会救助政策、标准，统筹社会救助体系建设；负责城乡居民最低生活保障、特困人员救助供养、临时救助、生活无着流浪乞讨人员救助工作。</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（四）拟订全市城乡基层群众自治建设和社区治理政策，指导城乡社区治理体系和治理能力建设，提出加强和改进城乡基层政权建设的建议，推动基层民主政治建设。</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五）拟订全市行政区划管理政策和行政区划界限、地名管理办法，负责全市村以上行政区域的设立、命名、变更和乡镇以上政府驻地迁移的审核报批工作，负责跨县（市、区）重要自然地理实体命名、更名的审核工作，负责全市行政区域界线勘定、管理和地名管理服务工作。</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（六）拟订全市婚姻管理政策并组织实施，推进婚俗改革。</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（七）拟订全市殡葬管理政策、服务规范并组织实施，推进殡葬改革。</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（八）统筹推进、督促指导、监督管理养老服务工作，拟订全市养老服务体系建设规划、政策、标准并组织实施，承担老年人福利和特殊困难老年人救助工作。</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（九）拟订全市残疾人权益保护政策，统筹推进残疾人福利制度建设和康复辅助器具产业发展。</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（十）拟订全市儿童福利、孤弃儿童保障、儿童收养、儿童救助保护政策、标准，健全农村留守儿童关爱服务体系和困境儿童保障制度。</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（十一）组织拟订全市促进慈善事业发展政策，指导社会捐助工作,负责福利彩票管理工作。</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（十二）拟订全市社会工作、志愿服务政策和标准，会同有关部门推进社会工作人才队伍建设和志愿者队伍建设。</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（十三）负责三门峡市本级社会组织党群工作。</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（十四）完成市委、市政府交办的其他任务。</w:t>
      </w:r>
    </w:p>
    <w:p>
      <w:pPr>
        <w:pageBreakBefore w:val="0"/>
        <w:kinsoku/>
        <w:wordWrap/>
        <w:overflowPunct/>
        <w:topLinePunct w:val="0"/>
        <w:autoSpaceDE/>
        <w:autoSpaceDN/>
        <w:bidi w:val="0"/>
        <w:spacing w:after="0" w:line="600" w:lineRule="exact"/>
        <w:ind w:firstLine="56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（十五）有关职责分工。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仿宋_GB2312"/>
          <w:i w:val="0"/>
          <w:iCs w:val="0"/>
          <w:caps w:val="0"/>
          <w:color w:val="000000"/>
          <w:spacing w:val="0"/>
          <w:sz w:val="32"/>
          <w:szCs w:val="32"/>
        </w:rPr>
      </w:pPr>
      <w:r>
        <w:rPr>
          <w:rFonts w:hint="eastAsia" w:ascii="仿宋_GB2312" w:hAnsi="微软雅黑" w:eastAsia="仿宋_GB2312" w:cs="仿宋_GB2312"/>
          <w:i w:val="0"/>
          <w:iCs w:val="0"/>
          <w:caps w:val="0"/>
          <w:color w:val="000000"/>
          <w:spacing w:val="0"/>
          <w:sz w:val="32"/>
          <w:szCs w:val="32"/>
        </w:rPr>
        <w:t>1.与三门峡市卫生健康委员会的有关职责分工。市民政局负责统筹推进、督促指导、监督管理养老服务工作，拟订养老服务体系建设规划、政策、标准并组织实施，承担老年人福利和特殊困难老年人救助工作。市卫生健康委员会负责拟订应对人口老龄化、医养结合政策措施，综合协调、督促指导、组织推进老龄事业发展，承担老年疾病防治、老年人医疗照护、老年人心理健康与关怀服务等老年健康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仿宋_GB2312"/>
          <w:i w:val="0"/>
          <w:iCs w:val="0"/>
          <w:caps w:val="0"/>
          <w:color w:val="000000"/>
          <w:spacing w:val="0"/>
          <w:sz w:val="32"/>
          <w:szCs w:val="32"/>
        </w:rPr>
      </w:pPr>
      <w:r>
        <w:rPr>
          <w:rFonts w:hint="eastAsia" w:ascii="仿宋_GB2312" w:hAnsi="微软雅黑" w:eastAsia="仿宋_GB2312" w:cs="仿宋_GB2312"/>
          <w:i w:val="0"/>
          <w:iCs w:val="0"/>
          <w:caps w:val="0"/>
          <w:color w:val="000000"/>
          <w:spacing w:val="0"/>
          <w:sz w:val="32"/>
          <w:szCs w:val="32"/>
        </w:rPr>
        <w:t>2.与三门峡市自然资源和规划局的有关职责分工。市民政局会同自然资源和规划局组织编制公布行政区划信息的三门峡市行政区划图。（四）部门预算绩效管理开展情况</w:t>
      </w:r>
    </w:p>
    <w:p>
      <w:pPr>
        <w:numPr>
          <w:ilvl w:val="0"/>
          <w:numId w:val="0"/>
        </w:numPr>
        <w:spacing w:line="600" w:lineRule="exact"/>
        <w:ind w:firstLine="600" w:firstLineChars="200"/>
        <w:rPr>
          <w:rFonts w:hint="eastAsia" w:ascii="仿宋_GB2312" w:hAnsi="微软雅黑" w:eastAsia="仿宋_GB2312" w:cs="仿宋_GB2312"/>
          <w:i w:val="0"/>
          <w:iCs w:val="0"/>
          <w:caps w:val="0"/>
          <w:color w:val="000000"/>
          <w:spacing w:val="0"/>
          <w:sz w:val="32"/>
          <w:szCs w:val="32"/>
        </w:rPr>
      </w:pPr>
      <w:r>
        <w:rPr>
          <w:rFonts w:hint="eastAsia" w:ascii="黑体" w:hAnsi="黑体" w:eastAsia="黑体" w:cs="黑体"/>
          <w:b w:val="0"/>
          <w:bCs/>
          <w:color w:val="000000"/>
          <w:sz w:val="30"/>
          <w:szCs w:val="30"/>
          <w:u w:val="none"/>
          <w:lang w:eastAsia="zh-CN"/>
        </w:rPr>
        <w:t>二、绩效自评工作开展情况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微软雅黑" w:eastAsia="仿宋_GB2312" w:cs="仿宋_GB2312"/>
          <w:i w:val="0"/>
          <w:iCs w:val="0"/>
          <w:caps w:val="0"/>
          <w:color w:val="000000"/>
          <w:spacing w:val="0"/>
          <w:sz w:val="32"/>
          <w:szCs w:val="32"/>
        </w:rPr>
      </w:pPr>
      <w:r>
        <w:rPr>
          <w:rFonts w:hint="eastAsia" w:ascii="仿宋_GB2312" w:hAnsi="微软雅黑" w:eastAsia="仿宋_GB2312" w:cs="仿宋_GB2312"/>
          <w:i w:val="0"/>
          <w:iCs w:val="0"/>
          <w:caps w:val="0"/>
          <w:color w:val="000000"/>
          <w:spacing w:val="0"/>
          <w:sz w:val="32"/>
          <w:szCs w:val="32"/>
        </w:rPr>
        <w:t>1.加强组织保障。</w:t>
      </w:r>
      <w:r>
        <w:rPr>
          <w:rFonts w:hint="eastAsia" w:ascii="仿宋_GB2312" w:hAnsi="微软雅黑" w:eastAsia="仿宋_GB2312" w:cs="仿宋_GB2312"/>
          <w:i w:val="0"/>
          <w:iCs w:val="0"/>
          <w:caps w:val="0"/>
          <w:color w:val="000000"/>
          <w:spacing w:val="0"/>
          <w:sz w:val="32"/>
          <w:szCs w:val="32"/>
          <w:lang w:val="en-US" w:eastAsia="zh-CN"/>
        </w:rPr>
        <w:t>以局规划财务科人员为主导，</w:t>
      </w:r>
      <w:r>
        <w:rPr>
          <w:rFonts w:hint="eastAsia" w:ascii="仿宋_GB2312" w:hAnsi="微软雅黑" w:eastAsia="仿宋_GB2312" w:cs="仿宋_GB2312"/>
          <w:i w:val="0"/>
          <w:iCs w:val="0"/>
          <w:caps w:val="0"/>
          <w:color w:val="000000"/>
          <w:spacing w:val="0"/>
          <w:sz w:val="32"/>
          <w:szCs w:val="32"/>
        </w:rPr>
        <w:t>研究、协调、解决预算绩效管理工作中存在的问题，协调各科室、中心密切配合，确保预算绩效管理工作顺利推进。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微软雅黑" w:eastAsia="仿宋_GB2312" w:cs="仿宋_GB2312"/>
          <w:i w:val="0"/>
          <w:iCs w:val="0"/>
          <w:caps w:val="0"/>
          <w:color w:val="000000"/>
          <w:spacing w:val="0"/>
          <w:sz w:val="32"/>
          <w:szCs w:val="32"/>
          <w:lang w:eastAsia="zh-CN"/>
        </w:rPr>
      </w:pPr>
      <w:r>
        <w:rPr>
          <w:rFonts w:hint="eastAsia" w:ascii="仿宋_GB2312" w:hAnsi="微软雅黑" w:eastAsia="仿宋_GB2312" w:cs="仿宋_GB2312"/>
          <w:i w:val="0"/>
          <w:iCs w:val="0"/>
          <w:caps w:val="0"/>
          <w:color w:val="000000"/>
          <w:spacing w:val="0"/>
          <w:sz w:val="32"/>
          <w:szCs w:val="32"/>
        </w:rPr>
        <w:t>2.加强制度建设。</w:t>
      </w:r>
      <w:r>
        <w:rPr>
          <w:rFonts w:hint="eastAsia" w:ascii="仿宋_GB2312" w:hAnsi="微软雅黑" w:eastAsia="仿宋_GB2312" w:cs="仿宋_GB2312"/>
          <w:i w:val="0"/>
          <w:iCs w:val="0"/>
          <w:caps w:val="0"/>
          <w:color w:val="000000"/>
          <w:spacing w:val="0"/>
          <w:sz w:val="32"/>
          <w:szCs w:val="32"/>
          <w:lang w:val="en-US" w:eastAsia="zh-CN"/>
        </w:rPr>
        <w:t>积极学习绩效管理制度，</w:t>
      </w:r>
      <w:r>
        <w:rPr>
          <w:rFonts w:hint="eastAsia" w:ascii="仿宋_GB2312" w:hAnsi="微软雅黑" w:eastAsia="仿宋_GB2312" w:cs="仿宋_GB2312"/>
          <w:i w:val="0"/>
          <w:iCs w:val="0"/>
          <w:caps w:val="0"/>
          <w:color w:val="000000"/>
          <w:spacing w:val="0"/>
          <w:sz w:val="32"/>
          <w:szCs w:val="32"/>
        </w:rPr>
        <w:t>明确部门预算绩效管理工作的职责、预算绩效监控管理的对象和内容、绩效目标、绩效管理指标、评价标准和方法、组织管理、操作流程等相关要求，为建立科学、规范、高效的财政资金使用和管理体系提供了制度保障</w:t>
      </w:r>
      <w:r>
        <w:rPr>
          <w:rFonts w:hint="eastAsia" w:ascii="仿宋_GB2312" w:hAnsi="微软雅黑" w:eastAsia="仿宋_GB2312" w:cs="仿宋_GB2312"/>
          <w:i w:val="0"/>
          <w:iCs w:val="0"/>
          <w:caps w:val="0"/>
          <w:color w:val="000000"/>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微软雅黑" w:eastAsia="仿宋_GB2312" w:cs="仿宋_GB2312"/>
          <w:i w:val="0"/>
          <w:iCs w:val="0"/>
          <w:caps w:val="0"/>
          <w:color w:val="000000"/>
          <w:spacing w:val="0"/>
          <w:sz w:val="32"/>
          <w:szCs w:val="32"/>
        </w:rPr>
      </w:pPr>
      <w:r>
        <w:rPr>
          <w:rFonts w:hint="eastAsia" w:ascii="仿宋_GB2312" w:hAnsi="微软雅黑" w:eastAsia="仿宋_GB2312" w:cs="仿宋_GB2312"/>
          <w:i w:val="0"/>
          <w:iCs w:val="0"/>
          <w:caps w:val="0"/>
          <w:color w:val="000000"/>
          <w:spacing w:val="0"/>
          <w:sz w:val="32"/>
          <w:szCs w:val="32"/>
        </w:rPr>
        <w:t>3.抓好绩效目标管理。按照财政部门要求，将全部预算项目纳入绩效目标管理。在项目预算之前，各业务科室、中心根据绩效目标管理要求，科学、合理地测算资金需求，填写项目预算绩效目标申报表，经</w:t>
      </w:r>
      <w:r>
        <w:rPr>
          <w:rFonts w:hint="eastAsia" w:ascii="仿宋_GB2312" w:hAnsi="微软雅黑" w:eastAsia="仿宋_GB2312" w:cs="仿宋_GB2312"/>
          <w:i w:val="0"/>
          <w:iCs w:val="0"/>
          <w:caps w:val="0"/>
          <w:color w:val="000000"/>
          <w:spacing w:val="0"/>
          <w:sz w:val="32"/>
          <w:szCs w:val="32"/>
          <w:lang w:val="en-US" w:eastAsia="zh-CN"/>
        </w:rPr>
        <w:t>局规划财务科</w:t>
      </w:r>
      <w:r>
        <w:rPr>
          <w:rFonts w:hint="eastAsia" w:ascii="仿宋_GB2312" w:hAnsi="微软雅黑" w:eastAsia="仿宋_GB2312" w:cs="仿宋_GB2312"/>
          <w:i w:val="0"/>
          <w:iCs w:val="0"/>
          <w:caps w:val="0"/>
          <w:color w:val="000000"/>
          <w:spacing w:val="0"/>
          <w:sz w:val="32"/>
          <w:szCs w:val="32"/>
        </w:rPr>
        <w:t>审核后报财政部门，确定预算绩效目标。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微软雅黑" w:eastAsia="仿宋_GB2312" w:cs="仿宋_GB2312"/>
          <w:i w:val="0"/>
          <w:iCs w:val="0"/>
          <w:caps w:val="0"/>
          <w:color w:val="000000"/>
          <w:spacing w:val="0"/>
          <w:sz w:val="32"/>
          <w:szCs w:val="32"/>
        </w:rPr>
      </w:pPr>
      <w:r>
        <w:rPr>
          <w:rFonts w:hint="eastAsia" w:ascii="仿宋_GB2312" w:hAnsi="微软雅黑" w:eastAsia="仿宋_GB2312" w:cs="仿宋_GB2312"/>
          <w:i w:val="0"/>
          <w:iCs w:val="0"/>
          <w:caps w:val="0"/>
          <w:color w:val="000000"/>
          <w:spacing w:val="0"/>
          <w:sz w:val="32"/>
          <w:szCs w:val="32"/>
        </w:rPr>
        <w:t>4.抓好项目预算支出事前绩效评估。针对拟申报预算的新设专项、延续专项、重大项目立项等，配合财政部门依据国家和省、</w:t>
      </w:r>
      <w:r>
        <w:rPr>
          <w:rFonts w:hint="eastAsia" w:ascii="仿宋_GB2312" w:hAnsi="微软雅黑" w:eastAsia="仿宋_GB2312" w:cs="仿宋_GB2312"/>
          <w:i w:val="0"/>
          <w:iCs w:val="0"/>
          <w:caps w:val="0"/>
          <w:color w:val="000000"/>
          <w:spacing w:val="0"/>
          <w:sz w:val="32"/>
          <w:szCs w:val="32"/>
          <w:lang w:val="en-US" w:eastAsia="zh-CN"/>
        </w:rPr>
        <w:t>市</w:t>
      </w:r>
      <w:r>
        <w:rPr>
          <w:rFonts w:hint="eastAsia" w:ascii="仿宋_GB2312" w:hAnsi="微软雅黑" w:eastAsia="仿宋_GB2312" w:cs="仿宋_GB2312"/>
          <w:i w:val="0"/>
          <w:iCs w:val="0"/>
          <w:caps w:val="0"/>
          <w:color w:val="000000"/>
          <w:spacing w:val="0"/>
          <w:sz w:val="32"/>
          <w:szCs w:val="32"/>
        </w:rPr>
        <w:t>相关政策、部门发展规划等，对政策或项目的立项必要性、投入经济性、绩效目标合理性、实施方案可行性、筹资合规性等方面进行客观公正的综合评估，将评估结果作为财政资金预算申报依据，夯实预算编制基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微软雅黑" w:eastAsia="仿宋_GB2312" w:cs="仿宋_GB2312"/>
          <w:i w:val="0"/>
          <w:iCs w:val="0"/>
          <w:caps w:val="0"/>
          <w:color w:val="000000"/>
          <w:spacing w:val="0"/>
          <w:sz w:val="32"/>
          <w:szCs w:val="32"/>
        </w:rPr>
      </w:pPr>
      <w:r>
        <w:rPr>
          <w:rFonts w:hint="eastAsia" w:ascii="仿宋_GB2312" w:hAnsi="微软雅黑" w:eastAsia="仿宋_GB2312" w:cs="仿宋_GB2312"/>
          <w:i w:val="0"/>
          <w:iCs w:val="0"/>
          <w:caps w:val="0"/>
          <w:color w:val="000000"/>
          <w:spacing w:val="0"/>
          <w:sz w:val="32"/>
          <w:szCs w:val="32"/>
        </w:rPr>
        <w:t>5.抓好绩效运行监控管理。严格执行绩效运行监控管理要求，各项目管理科室围绕绩效目标、适时监控绩效自标实现程度和预算执行情况，及时掌握绩效运行情况、资金支出进度等。财务部门在业务科室监控的基础上，有重点地对预算支出绩效目标实现程度进行监督检查，督促业务科室加强项目管理、加快项目支出进度，确保绩效目标的完成。</w:t>
      </w:r>
    </w:p>
    <w:bookmarkEnd w:id="6"/>
    <w:bookmarkEnd w:id="7"/>
    <w:bookmarkEnd w:id="8"/>
    <w:p>
      <w:pPr>
        <w:pStyle w:val="10"/>
        <w:pageBreakBefore w:val="0"/>
        <w:widowControl w:val="0"/>
        <w:kinsoku/>
        <w:wordWrap/>
        <w:overflowPunct/>
        <w:topLinePunct w:val="0"/>
        <w:autoSpaceDE/>
        <w:autoSpaceDN/>
        <w:bidi w:val="0"/>
        <w:spacing w:before="0" w:after="0" w:line="600" w:lineRule="exact"/>
        <w:ind w:firstLine="643"/>
        <w:textAlignment w:val="auto"/>
        <w:rPr>
          <w:rFonts w:ascii="Times New Roman" w:hAnsi="Times New Roman"/>
          <w:sz w:val="32"/>
          <w:szCs w:val="32"/>
        </w:rPr>
      </w:pPr>
      <w:r>
        <w:rPr>
          <w:rFonts w:hint="eastAsia" w:ascii="Times New Roman" w:hAnsi="Times New Roman"/>
          <w:sz w:val="32"/>
          <w:szCs w:val="32"/>
          <w:lang w:val="en-US" w:eastAsia="zh-CN"/>
        </w:rPr>
        <w:t>三</w:t>
      </w:r>
      <w:r>
        <w:rPr>
          <w:rFonts w:hint="eastAsia" w:ascii="Times New Roman" w:hAnsi="Times New Roman"/>
          <w:sz w:val="32"/>
          <w:szCs w:val="32"/>
        </w:rPr>
        <w:t>、部门整体支出管理及使用情况</w:t>
      </w:r>
    </w:p>
    <w:p>
      <w:pPr>
        <w:pageBreakBefore w:val="0"/>
        <w:kinsoku/>
        <w:wordWrap/>
        <w:overflowPunct/>
        <w:topLinePunct w:val="0"/>
        <w:autoSpaceDE/>
        <w:autoSpaceDN/>
        <w:bidi w:val="0"/>
        <w:spacing w:after="0" w:line="600" w:lineRule="exact"/>
        <w:ind w:firstLine="560"/>
        <w:textAlignment w:val="auto"/>
        <w:rPr>
          <w:rFonts w:hint="eastAsia" w:ascii="楷体" w:hAnsi="楷体" w:eastAsia="楷体" w:cs="楷体"/>
          <w:b/>
          <w:bCs/>
          <w:sz w:val="32"/>
          <w:szCs w:val="32"/>
          <w:lang w:val="en-US"/>
        </w:rPr>
      </w:pPr>
      <w:bookmarkStart w:id="9" w:name="_Toc6585227"/>
      <w:bookmarkStart w:id="10" w:name="_Toc6585052"/>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val="en-US"/>
        </w:rPr>
        <w:t>部门</w:t>
      </w:r>
      <w:bookmarkEnd w:id="9"/>
      <w:bookmarkEnd w:id="10"/>
      <w:r>
        <w:rPr>
          <w:rFonts w:hint="eastAsia" w:ascii="楷体" w:hAnsi="楷体" w:eastAsia="楷体" w:cs="楷体"/>
          <w:b/>
          <w:bCs/>
          <w:sz w:val="32"/>
          <w:szCs w:val="32"/>
          <w:lang w:val="en-US"/>
        </w:rPr>
        <w:t>资金预算及执行情况</w:t>
      </w:r>
    </w:p>
    <w:p>
      <w:pPr>
        <w:pStyle w:val="12"/>
        <w:pageBreakBefore w:val="0"/>
        <w:widowControl w:val="0"/>
        <w:kinsoku/>
        <w:wordWrap/>
        <w:overflowPunct/>
        <w:topLinePunct w:val="0"/>
        <w:autoSpaceDE/>
        <w:autoSpaceDN/>
        <w:bidi w:val="0"/>
        <w:spacing w:line="600" w:lineRule="exact"/>
        <w:ind w:firstLine="562"/>
        <w:textAlignment w:val="auto"/>
        <w:rPr>
          <w:b/>
          <w:bCs/>
          <w:sz w:val="32"/>
          <w:szCs w:val="32"/>
        </w:rPr>
      </w:pPr>
      <w:r>
        <w:rPr>
          <w:b/>
          <w:bCs/>
          <w:sz w:val="32"/>
          <w:szCs w:val="32"/>
        </w:rPr>
        <w:t>（1）部门资金预算情况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微软雅黑" w:eastAsia="仿宋_GB2312" w:cs="仿宋_GB2312"/>
          <w:i w:val="0"/>
          <w:iCs w:val="0"/>
          <w:caps w:val="0"/>
          <w:color w:val="000000"/>
          <w:spacing w:val="0"/>
          <w:sz w:val="32"/>
          <w:szCs w:val="32"/>
        </w:rPr>
      </w:pPr>
      <w:r>
        <w:rPr>
          <w:rFonts w:hint="default" w:ascii="仿宋_GB2312" w:hAnsi="微软雅黑" w:eastAsia="仿宋_GB2312" w:cs="仿宋_GB2312"/>
          <w:i w:val="0"/>
          <w:iCs w:val="0"/>
          <w:caps w:val="0"/>
          <w:color w:val="000000"/>
          <w:spacing w:val="0"/>
          <w:sz w:val="32"/>
          <w:szCs w:val="32"/>
        </w:rPr>
        <w:t>三门峡市民政局202</w:t>
      </w:r>
      <w:r>
        <w:rPr>
          <w:rFonts w:hint="eastAsia" w:ascii="仿宋_GB2312" w:hAnsi="微软雅黑" w:eastAsia="仿宋_GB2312" w:cs="仿宋_GB2312"/>
          <w:i w:val="0"/>
          <w:iCs w:val="0"/>
          <w:caps w:val="0"/>
          <w:color w:val="000000"/>
          <w:spacing w:val="0"/>
          <w:sz w:val="32"/>
          <w:szCs w:val="32"/>
          <w:lang w:val="en-US" w:eastAsia="zh-CN"/>
        </w:rPr>
        <w:t>1</w:t>
      </w:r>
      <w:r>
        <w:rPr>
          <w:rFonts w:hint="default" w:ascii="仿宋_GB2312" w:hAnsi="微软雅黑" w:eastAsia="仿宋_GB2312" w:cs="仿宋_GB2312"/>
          <w:i w:val="0"/>
          <w:iCs w:val="0"/>
          <w:caps w:val="0"/>
          <w:color w:val="000000"/>
          <w:spacing w:val="0"/>
          <w:sz w:val="32"/>
          <w:szCs w:val="32"/>
        </w:rPr>
        <w:t>年收入总计4573.1324万元，其中：一般公共预算安排资金2171.4919万元；支出总计4573.1324万元，其中：一般公共预算安排支出2171.4919万元。与20</w:t>
      </w:r>
      <w:r>
        <w:rPr>
          <w:rFonts w:hint="eastAsia" w:ascii="仿宋_GB2312" w:hAnsi="微软雅黑" w:eastAsia="仿宋_GB2312" w:cs="仿宋_GB2312"/>
          <w:i w:val="0"/>
          <w:iCs w:val="0"/>
          <w:caps w:val="0"/>
          <w:color w:val="000000"/>
          <w:spacing w:val="0"/>
          <w:sz w:val="32"/>
          <w:szCs w:val="32"/>
          <w:lang w:val="en-US" w:eastAsia="zh-CN"/>
        </w:rPr>
        <w:t>20</w:t>
      </w:r>
      <w:r>
        <w:rPr>
          <w:rFonts w:hint="default" w:ascii="仿宋_GB2312" w:hAnsi="微软雅黑" w:eastAsia="仿宋_GB2312" w:cs="仿宋_GB2312"/>
          <w:i w:val="0"/>
          <w:iCs w:val="0"/>
          <w:caps w:val="0"/>
          <w:color w:val="000000"/>
          <w:spacing w:val="0"/>
          <w:sz w:val="32"/>
          <w:szCs w:val="32"/>
        </w:rPr>
        <w:t>年相比，收、支总计各减少464.3万元，减少8.9%。主要原因是202</w:t>
      </w:r>
      <w:r>
        <w:rPr>
          <w:rFonts w:hint="eastAsia" w:ascii="仿宋_GB2312" w:hAnsi="微软雅黑" w:eastAsia="仿宋_GB2312" w:cs="仿宋_GB2312"/>
          <w:i w:val="0"/>
          <w:iCs w:val="0"/>
          <w:caps w:val="0"/>
          <w:color w:val="000000"/>
          <w:spacing w:val="0"/>
          <w:sz w:val="32"/>
          <w:szCs w:val="32"/>
          <w:lang w:val="en-US" w:eastAsia="zh-CN"/>
        </w:rPr>
        <w:t>1</w:t>
      </w:r>
      <w:r>
        <w:rPr>
          <w:rFonts w:hint="default" w:ascii="仿宋_GB2312" w:hAnsi="微软雅黑" w:eastAsia="仿宋_GB2312" w:cs="仿宋_GB2312"/>
          <w:i w:val="0"/>
          <w:iCs w:val="0"/>
          <w:caps w:val="0"/>
          <w:color w:val="000000"/>
          <w:spacing w:val="0"/>
          <w:sz w:val="32"/>
          <w:szCs w:val="32"/>
        </w:rPr>
        <w:t>年</w:t>
      </w:r>
      <w:r>
        <w:rPr>
          <w:rFonts w:hint="eastAsia" w:ascii="仿宋_GB2312" w:hAnsi="微软雅黑" w:eastAsia="仿宋_GB2312" w:cs="仿宋_GB2312"/>
          <w:i w:val="0"/>
          <w:iCs w:val="0"/>
          <w:caps w:val="0"/>
          <w:color w:val="000000"/>
          <w:spacing w:val="0"/>
          <w:sz w:val="32"/>
          <w:szCs w:val="32"/>
          <w:lang w:val="en-US" w:eastAsia="zh-CN"/>
        </w:rPr>
        <w:t>三门峡市康复医院收入预算减少</w:t>
      </w:r>
      <w:r>
        <w:rPr>
          <w:rFonts w:hint="default" w:ascii="仿宋_GB2312" w:hAnsi="微软雅黑" w:eastAsia="仿宋_GB2312" w:cs="仿宋_GB2312"/>
          <w:i w:val="0"/>
          <w:iCs w:val="0"/>
          <w:caps w:val="0"/>
          <w:color w:val="000000"/>
          <w:spacing w:val="0"/>
          <w:sz w:val="32"/>
          <w:szCs w:val="32"/>
        </w:rPr>
        <w:t>。</w:t>
      </w:r>
    </w:p>
    <w:p>
      <w:pPr>
        <w:pStyle w:val="12"/>
        <w:pageBreakBefore w:val="0"/>
        <w:widowControl w:val="0"/>
        <w:kinsoku/>
        <w:wordWrap/>
        <w:overflowPunct/>
        <w:topLinePunct w:val="0"/>
        <w:autoSpaceDE/>
        <w:autoSpaceDN/>
        <w:bidi w:val="0"/>
        <w:spacing w:line="600" w:lineRule="exact"/>
        <w:ind w:firstLine="562"/>
        <w:textAlignment w:val="auto"/>
        <w:rPr>
          <w:rFonts w:hint="eastAsia"/>
          <w:b/>
          <w:bCs/>
          <w:sz w:val="32"/>
          <w:szCs w:val="32"/>
          <w:lang w:val="en-US" w:eastAsia="zh-CN"/>
        </w:rPr>
      </w:pPr>
      <w:r>
        <w:rPr>
          <w:rFonts w:hint="eastAsia"/>
          <w:b/>
          <w:bCs/>
          <w:sz w:val="32"/>
          <w:szCs w:val="32"/>
          <w:lang w:val="en-US" w:eastAsia="zh-CN"/>
        </w:rPr>
        <w:t>（2）</w:t>
      </w:r>
      <w:r>
        <w:rPr>
          <w:rFonts w:hint="eastAsia"/>
          <w:b/>
          <w:bCs/>
          <w:sz w:val="32"/>
          <w:szCs w:val="32"/>
        </w:rPr>
        <w:t>一般性项目支出预算</w:t>
      </w:r>
      <w:r>
        <w:rPr>
          <w:rFonts w:hint="eastAsia"/>
          <w:b/>
          <w:bCs/>
          <w:sz w:val="32"/>
          <w:szCs w:val="32"/>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微软雅黑" w:eastAsia="仿宋_GB2312" w:cs="仿宋_GB2312"/>
          <w:i w:val="0"/>
          <w:iCs w:val="0"/>
          <w:caps w:val="0"/>
          <w:color w:val="000000"/>
          <w:spacing w:val="0"/>
          <w:sz w:val="32"/>
          <w:szCs w:val="32"/>
          <w:lang w:val="en-US" w:eastAsia="zh-CN"/>
        </w:rPr>
      </w:pPr>
      <w:r>
        <w:rPr>
          <w:rFonts w:hint="eastAsia" w:ascii="仿宋_GB2312" w:hAnsi="微软雅黑" w:eastAsia="仿宋_GB2312" w:cs="仿宋_GB2312"/>
          <w:i w:val="0"/>
          <w:iCs w:val="0"/>
          <w:caps w:val="0"/>
          <w:color w:val="000000"/>
          <w:spacing w:val="0"/>
          <w:sz w:val="32"/>
          <w:szCs w:val="32"/>
        </w:rPr>
        <w:t>一般性项目支出预算主要有</w:t>
      </w:r>
      <w:r>
        <w:rPr>
          <w:rFonts w:hint="eastAsia" w:ascii="仿宋_GB2312" w:hAnsi="微软雅黑" w:eastAsia="仿宋_GB2312" w:cs="仿宋_GB2312"/>
          <w:i w:val="0"/>
          <w:iCs w:val="0"/>
          <w:caps w:val="0"/>
          <w:color w:val="000000"/>
          <w:spacing w:val="0"/>
          <w:sz w:val="32"/>
          <w:szCs w:val="32"/>
          <w:lang w:eastAsia="zh-CN"/>
        </w:rPr>
        <w:t>：</w:t>
      </w:r>
      <w:r>
        <w:rPr>
          <w:rFonts w:hint="eastAsia" w:ascii="仿宋_GB2312" w:hAnsi="微软雅黑" w:eastAsia="仿宋_GB2312" w:cs="仿宋_GB2312"/>
          <w:i w:val="0"/>
          <w:iCs w:val="0"/>
          <w:caps w:val="0"/>
          <w:color w:val="000000"/>
          <w:spacing w:val="0"/>
          <w:sz w:val="32"/>
          <w:szCs w:val="32"/>
        </w:rPr>
        <w:t>三门峡市民政局机关民政专项业务工作经费</w:t>
      </w:r>
      <w:r>
        <w:rPr>
          <w:rFonts w:hint="eastAsia" w:ascii="仿宋_GB2312" w:hAnsi="微软雅黑" w:eastAsia="仿宋_GB2312" w:cs="仿宋_GB2312"/>
          <w:i w:val="0"/>
          <w:iCs w:val="0"/>
          <w:caps w:val="0"/>
          <w:color w:val="000000"/>
          <w:spacing w:val="0"/>
          <w:sz w:val="32"/>
          <w:szCs w:val="32"/>
          <w:lang w:val="en-US" w:eastAsia="zh-CN"/>
        </w:rPr>
        <w:t>80万元，</w:t>
      </w:r>
      <w:r>
        <w:rPr>
          <w:rFonts w:hint="default" w:ascii="仿宋_GB2312" w:hAnsi="微软雅黑" w:eastAsia="仿宋_GB2312" w:cs="仿宋_GB2312"/>
          <w:i w:val="0"/>
          <w:iCs w:val="0"/>
          <w:caps w:val="0"/>
          <w:color w:val="000000"/>
          <w:spacing w:val="0"/>
          <w:sz w:val="32"/>
          <w:szCs w:val="32"/>
        </w:rPr>
        <w:t>派驻纪检组业务经费</w:t>
      </w:r>
      <w:r>
        <w:rPr>
          <w:rFonts w:hint="eastAsia" w:ascii="仿宋_GB2312" w:hAnsi="微软雅黑" w:eastAsia="仿宋_GB2312" w:cs="仿宋_GB2312"/>
          <w:i w:val="0"/>
          <w:iCs w:val="0"/>
          <w:caps w:val="0"/>
          <w:color w:val="000000"/>
          <w:spacing w:val="0"/>
          <w:sz w:val="32"/>
          <w:szCs w:val="32"/>
          <w:lang w:val="en-US" w:eastAsia="zh-CN"/>
        </w:rPr>
        <w:t>21.4万元，</w:t>
      </w:r>
      <w:r>
        <w:rPr>
          <w:rFonts w:hint="eastAsia" w:ascii="仿宋_GB2312" w:hAnsi="微软雅黑" w:eastAsia="仿宋_GB2312" w:cs="仿宋_GB2312"/>
          <w:i w:val="0"/>
          <w:iCs w:val="0"/>
          <w:caps w:val="0"/>
          <w:color w:val="000000"/>
          <w:spacing w:val="0"/>
          <w:sz w:val="32"/>
          <w:szCs w:val="32"/>
        </w:rPr>
        <w:t>三门峡市救助管理站流浪乞讨人员救助经费</w:t>
      </w:r>
      <w:r>
        <w:rPr>
          <w:rFonts w:hint="eastAsia" w:ascii="仿宋_GB2312" w:hAnsi="微软雅黑" w:eastAsia="仿宋_GB2312" w:cs="仿宋_GB2312"/>
          <w:i w:val="0"/>
          <w:iCs w:val="0"/>
          <w:caps w:val="0"/>
          <w:color w:val="000000"/>
          <w:spacing w:val="0"/>
          <w:sz w:val="32"/>
          <w:szCs w:val="32"/>
          <w:lang w:val="en-US" w:eastAsia="zh-CN"/>
        </w:rPr>
        <w:t>45万元</w:t>
      </w:r>
      <w:r>
        <w:rPr>
          <w:rFonts w:hint="eastAsia" w:ascii="仿宋_GB2312" w:hAnsi="微软雅黑" w:eastAsia="仿宋_GB2312" w:cs="仿宋_GB2312"/>
          <w:i w:val="0"/>
          <w:iCs w:val="0"/>
          <w:caps w:val="0"/>
          <w:color w:val="000000"/>
          <w:spacing w:val="0"/>
          <w:sz w:val="32"/>
          <w:szCs w:val="32"/>
        </w:rPr>
        <w:t>，三门峡市救助管理站办公设施购置</w:t>
      </w:r>
      <w:r>
        <w:rPr>
          <w:rFonts w:hint="eastAsia" w:ascii="仿宋_GB2312" w:hAnsi="微软雅黑" w:eastAsia="仿宋_GB2312" w:cs="仿宋_GB2312"/>
          <w:i w:val="0"/>
          <w:iCs w:val="0"/>
          <w:caps w:val="0"/>
          <w:color w:val="000000"/>
          <w:spacing w:val="0"/>
          <w:sz w:val="32"/>
          <w:szCs w:val="32"/>
          <w:lang w:val="en-US" w:eastAsia="zh-CN"/>
        </w:rPr>
        <w:t>2万元，三门峡市救助管理站维护费4万元，三门峡市社会福利院院民基本生活费、教育费、基本医疗费、康复经费、寄养家庭劳务费等</w:t>
      </w:r>
      <w:r>
        <w:rPr>
          <w:rFonts w:hint="eastAsia" w:ascii="仿宋_GB2312" w:hAnsi="微软雅黑" w:eastAsia="仿宋_GB2312" w:cs="仿宋_GB2312"/>
          <w:i w:val="0"/>
          <w:iCs w:val="0"/>
          <w:caps w:val="0"/>
          <w:color w:val="000000"/>
          <w:spacing w:val="0"/>
          <w:sz w:val="32"/>
          <w:szCs w:val="32"/>
        </w:rPr>
        <w:t>134</w:t>
      </w:r>
      <w:r>
        <w:rPr>
          <w:rFonts w:hint="eastAsia" w:ascii="仿宋_GB2312" w:hAnsi="微软雅黑" w:eastAsia="仿宋_GB2312" w:cs="仿宋_GB2312"/>
          <w:i w:val="0"/>
          <w:iCs w:val="0"/>
          <w:caps w:val="0"/>
          <w:color w:val="000000"/>
          <w:spacing w:val="0"/>
          <w:sz w:val="32"/>
          <w:szCs w:val="32"/>
          <w:lang w:val="en-US" w:eastAsia="zh-CN"/>
        </w:rPr>
        <w:t>万元，三门峡市社会福利院政府购买岗位经费162万元，三门峡市殡葬管理所殡葬改革工作经费3万元，三门峡市慈善总会办公室慈善业务工作经费5万元，三门峡市养老服务中心5万元。</w:t>
      </w:r>
    </w:p>
    <w:p>
      <w:pPr>
        <w:pStyle w:val="11"/>
        <w:pageBreakBefore w:val="0"/>
        <w:kinsoku/>
        <w:wordWrap/>
        <w:overflowPunct/>
        <w:topLinePunct w:val="0"/>
        <w:autoSpaceDE/>
        <w:autoSpaceDN/>
        <w:bidi w:val="0"/>
        <w:spacing w:before="0" w:after="0" w:line="600" w:lineRule="exact"/>
        <w:ind w:firstLine="562"/>
        <w:textAlignment w:val="auto"/>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）基本支出</w:t>
      </w:r>
    </w:p>
    <w:p>
      <w:pPr>
        <w:pStyle w:val="11"/>
        <w:pageBreakBefore w:val="0"/>
        <w:kinsoku/>
        <w:wordWrap/>
        <w:overflowPunct/>
        <w:topLinePunct w:val="0"/>
        <w:autoSpaceDE/>
        <w:autoSpaceDN/>
        <w:bidi w:val="0"/>
        <w:spacing w:before="0" w:after="0" w:line="600" w:lineRule="exact"/>
        <w:ind w:firstLine="562"/>
        <w:textAlignment w:val="auto"/>
        <w:outlineLvl w:val="2"/>
        <w:rPr>
          <w:sz w:val="32"/>
          <w:szCs w:val="32"/>
          <w:lang w:val="en-US"/>
        </w:rPr>
      </w:pPr>
      <w:r>
        <w:rPr>
          <w:sz w:val="32"/>
          <w:szCs w:val="32"/>
          <w:lang w:val="en-US"/>
        </w:rPr>
        <w:t>1、主要用途</w:t>
      </w:r>
      <w:r>
        <w:rPr>
          <w:bCs w:val="0"/>
          <w:color w:val="000000"/>
          <w:sz w:val="32"/>
          <w:szCs w:val="32"/>
        </w:rPr>
        <w:t>、范围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微软雅黑" w:eastAsia="仿宋_GB2312" w:cs="仿宋_GB2312"/>
          <w:i w:val="0"/>
          <w:iCs w:val="0"/>
          <w:caps w:val="0"/>
          <w:color w:val="000000"/>
          <w:spacing w:val="0"/>
          <w:sz w:val="32"/>
          <w:szCs w:val="32"/>
        </w:rPr>
      </w:pPr>
      <w:r>
        <w:rPr>
          <w:rFonts w:hint="default" w:ascii="仿宋_GB2312" w:hAnsi="微软雅黑" w:eastAsia="仿宋_GB2312" w:cs="仿宋_GB2312"/>
          <w:i w:val="0"/>
          <w:iCs w:val="0"/>
          <w:caps w:val="0"/>
          <w:color w:val="000000"/>
          <w:spacing w:val="0"/>
          <w:sz w:val="32"/>
          <w:szCs w:val="32"/>
        </w:rPr>
        <w:t>三门峡市民政局202</w:t>
      </w:r>
      <w:r>
        <w:rPr>
          <w:rFonts w:hint="eastAsia" w:ascii="仿宋_GB2312" w:hAnsi="微软雅黑" w:eastAsia="仿宋_GB2312" w:cs="仿宋_GB2312"/>
          <w:i w:val="0"/>
          <w:iCs w:val="0"/>
          <w:caps w:val="0"/>
          <w:color w:val="000000"/>
          <w:spacing w:val="0"/>
          <w:sz w:val="32"/>
          <w:szCs w:val="32"/>
          <w:lang w:val="en-US" w:eastAsia="zh-CN"/>
        </w:rPr>
        <w:t>1</w:t>
      </w:r>
      <w:r>
        <w:rPr>
          <w:rFonts w:hint="default" w:ascii="仿宋_GB2312" w:hAnsi="微软雅黑" w:eastAsia="仿宋_GB2312" w:cs="仿宋_GB2312"/>
          <w:i w:val="0"/>
          <w:iCs w:val="0"/>
          <w:caps w:val="0"/>
          <w:color w:val="000000"/>
          <w:spacing w:val="0"/>
          <w:sz w:val="32"/>
          <w:szCs w:val="32"/>
        </w:rPr>
        <w:t>年一般公共预算支出年初预算</w:t>
      </w:r>
      <w:r>
        <w:rPr>
          <w:rFonts w:hint="eastAsia" w:ascii="仿宋_GB2312" w:hAnsi="微软雅黑" w:eastAsia="仿宋_GB2312" w:cs="仿宋_GB2312"/>
          <w:i w:val="0"/>
          <w:iCs w:val="0"/>
          <w:caps w:val="0"/>
          <w:color w:val="000000"/>
          <w:spacing w:val="0"/>
          <w:sz w:val="32"/>
          <w:szCs w:val="32"/>
          <w:lang w:val="en-US" w:eastAsia="zh-CN"/>
        </w:rPr>
        <w:t>2171.4919</w:t>
      </w:r>
      <w:r>
        <w:rPr>
          <w:rFonts w:hint="default" w:ascii="仿宋_GB2312" w:hAnsi="微软雅黑" w:eastAsia="仿宋_GB2312" w:cs="仿宋_GB2312"/>
          <w:i w:val="0"/>
          <w:iCs w:val="0"/>
          <w:caps w:val="0"/>
          <w:color w:val="000000"/>
          <w:spacing w:val="0"/>
          <w:sz w:val="32"/>
          <w:szCs w:val="32"/>
        </w:rPr>
        <w:t>万元,主要用于以下方面：工资福利支出</w:t>
      </w:r>
      <w:r>
        <w:rPr>
          <w:rFonts w:hint="eastAsia" w:ascii="仿宋_GB2312" w:hAnsi="微软雅黑" w:eastAsia="仿宋_GB2312" w:cs="仿宋_GB2312"/>
          <w:i w:val="0"/>
          <w:iCs w:val="0"/>
          <w:caps w:val="0"/>
          <w:color w:val="000000"/>
          <w:spacing w:val="0"/>
          <w:sz w:val="32"/>
          <w:szCs w:val="32"/>
          <w:lang w:val="en-US" w:eastAsia="zh-CN"/>
        </w:rPr>
        <w:t>1471.1431</w:t>
      </w:r>
      <w:r>
        <w:rPr>
          <w:rFonts w:hint="default" w:ascii="仿宋_GB2312" w:hAnsi="微软雅黑" w:eastAsia="仿宋_GB2312" w:cs="仿宋_GB2312"/>
          <w:i w:val="0"/>
          <w:iCs w:val="0"/>
          <w:caps w:val="0"/>
          <w:color w:val="000000"/>
          <w:spacing w:val="0"/>
          <w:sz w:val="32"/>
          <w:szCs w:val="32"/>
        </w:rPr>
        <w:t>万元，占6</w:t>
      </w:r>
      <w:r>
        <w:rPr>
          <w:rFonts w:hint="eastAsia" w:ascii="仿宋_GB2312" w:hAnsi="微软雅黑" w:eastAsia="仿宋_GB2312" w:cs="仿宋_GB2312"/>
          <w:i w:val="0"/>
          <w:iCs w:val="0"/>
          <w:caps w:val="0"/>
          <w:color w:val="000000"/>
          <w:spacing w:val="0"/>
          <w:sz w:val="32"/>
          <w:szCs w:val="32"/>
          <w:lang w:val="en-US" w:eastAsia="zh-CN"/>
        </w:rPr>
        <w:t>7</w:t>
      </w:r>
      <w:r>
        <w:rPr>
          <w:rFonts w:hint="default" w:ascii="仿宋_GB2312" w:hAnsi="微软雅黑" w:eastAsia="仿宋_GB2312" w:cs="仿宋_GB2312"/>
          <w:i w:val="0"/>
          <w:iCs w:val="0"/>
          <w:caps w:val="0"/>
          <w:color w:val="000000"/>
          <w:spacing w:val="0"/>
          <w:sz w:val="32"/>
          <w:szCs w:val="32"/>
        </w:rPr>
        <w:t>.7%，对个人和家庭补助支出</w:t>
      </w:r>
      <w:r>
        <w:rPr>
          <w:rFonts w:hint="eastAsia" w:ascii="仿宋_GB2312" w:hAnsi="微软雅黑" w:eastAsia="仿宋_GB2312" w:cs="仿宋_GB2312"/>
          <w:i w:val="0"/>
          <w:iCs w:val="0"/>
          <w:caps w:val="0"/>
          <w:color w:val="000000"/>
          <w:spacing w:val="0"/>
          <w:sz w:val="32"/>
          <w:szCs w:val="32"/>
          <w:lang w:val="en-US" w:eastAsia="zh-CN"/>
        </w:rPr>
        <w:t>133.4026</w:t>
      </w:r>
      <w:r>
        <w:rPr>
          <w:rFonts w:hint="default" w:ascii="仿宋_GB2312" w:hAnsi="微软雅黑" w:eastAsia="仿宋_GB2312" w:cs="仿宋_GB2312"/>
          <w:i w:val="0"/>
          <w:iCs w:val="0"/>
          <w:caps w:val="0"/>
          <w:color w:val="000000"/>
          <w:spacing w:val="0"/>
          <w:sz w:val="32"/>
          <w:szCs w:val="32"/>
        </w:rPr>
        <w:t>万元，占</w:t>
      </w:r>
      <w:r>
        <w:rPr>
          <w:rFonts w:hint="eastAsia" w:ascii="仿宋_GB2312" w:hAnsi="微软雅黑" w:eastAsia="仿宋_GB2312" w:cs="仿宋_GB2312"/>
          <w:i w:val="0"/>
          <w:iCs w:val="0"/>
          <w:caps w:val="0"/>
          <w:color w:val="000000"/>
          <w:spacing w:val="0"/>
          <w:sz w:val="32"/>
          <w:szCs w:val="32"/>
          <w:lang w:val="en-US" w:eastAsia="zh-CN"/>
        </w:rPr>
        <w:t>6.1</w:t>
      </w:r>
      <w:r>
        <w:rPr>
          <w:rFonts w:hint="default" w:ascii="仿宋_GB2312" w:hAnsi="微软雅黑" w:eastAsia="仿宋_GB2312" w:cs="仿宋_GB2312"/>
          <w:i w:val="0"/>
          <w:iCs w:val="0"/>
          <w:caps w:val="0"/>
          <w:color w:val="000000"/>
          <w:spacing w:val="0"/>
          <w:sz w:val="32"/>
          <w:szCs w:val="32"/>
        </w:rPr>
        <w:t>%；商品服务支出</w:t>
      </w:r>
      <w:r>
        <w:rPr>
          <w:rFonts w:hint="eastAsia" w:ascii="仿宋_GB2312" w:hAnsi="微软雅黑" w:eastAsia="仿宋_GB2312" w:cs="仿宋_GB2312"/>
          <w:i w:val="0"/>
          <w:iCs w:val="0"/>
          <w:caps w:val="0"/>
          <w:color w:val="000000"/>
          <w:spacing w:val="0"/>
          <w:sz w:val="32"/>
          <w:szCs w:val="32"/>
          <w:lang w:val="en-US" w:eastAsia="zh-CN"/>
        </w:rPr>
        <w:t>105.5462</w:t>
      </w:r>
      <w:r>
        <w:rPr>
          <w:rFonts w:hint="default" w:ascii="仿宋_GB2312" w:hAnsi="微软雅黑" w:eastAsia="仿宋_GB2312" w:cs="仿宋_GB2312"/>
          <w:i w:val="0"/>
          <w:iCs w:val="0"/>
          <w:caps w:val="0"/>
          <w:color w:val="000000"/>
          <w:spacing w:val="0"/>
          <w:sz w:val="32"/>
          <w:szCs w:val="32"/>
        </w:rPr>
        <w:t>万元，占4.9%；项目支出</w:t>
      </w:r>
      <w:r>
        <w:rPr>
          <w:rFonts w:hint="eastAsia" w:ascii="仿宋_GB2312" w:hAnsi="微软雅黑" w:eastAsia="仿宋_GB2312" w:cs="仿宋_GB2312"/>
          <w:i w:val="0"/>
          <w:iCs w:val="0"/>
          <w:caps w:val="0"/>
          <w:color w:val="000000"/>
          <w:spacing w:val="0"/>
          <w:sz w:val="32"/>
          <w:szCs w:val="32"/>
          <w:lang w:val="en-US" w:eastAsia="zh-CN"/>
        </w:rPr>
        <w:t>461.4</w:t>
      </w:r>
      <w:r>
        <w:rPr>
          <w:rFonts w:hint="default" w:ascii="仿宋_GB2312" w:hAnsi="微软雅黑" w:eastAsia="仿宋_GB2312" w:cs="仿宋_GB2312"/>
          <w:i w:val="0"/>
          <w:iCs w:val="0"/>
          <w:caps w:val="0"/>
          <w:color w:val="000000"/>
          <w:spacing w:val="0"/>
          <w:sz w:val="32"/>
          <w:szCs w:val="32"/>
        </w:rPr>
        <w:t>万元，占2</w:t>
      </w:r>
      <w:r>
        <w:rPr>
          <w:rFonts w:hint="eastAsia" w:ascii="仿宋_GB2312" w:hAnsi="微软雅黑" w:eastAsia="仿宋_GB2312" w:cs="仿宋_GB2312"/>
          <w:i w:val="0"/>
          <w:iCs w:val="0"/>
          <w:caps w:val="0"/>
          <w:color w:val="000000"/>
          <w:spacing w:val="0"/>
          <w:sz w:val="32"/>
          <w:szCs w:val="32"/>
          <w:lang w:val="en-US" w:eastAsia="zh-CN"/>
        </w:rPr>
        <w:t>1.3</w:t>
      </w:r>
      <w:r>
        <w:rPr>
          <w:rFonts w:hint="default" w:ascii="仿宋_GB2312" w:hAnsi="微软雅黑" w:eastAsia="仿宋_GB2312" w:cs="仿宋_GB2312"/>
          <w:i w:val="0"/>
          <w:iCs w:val="0"/>
          <w:caps w:val="0"/>
          <w:color w:val="000000"/>
          <w:spacing w:val="0"/>
          <w:sz w:val="32"/>
          <w:szCs w:val="32"/>
        </w:rPr>
        <w:t>%，主要项目是民政专项业务工作经费、民政对象的生活及救助经费、派驻纪检组业务经费等支出。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00" w:lineRule="exact"/>
        <w:ind w:left="0" w:right="0" w:firstLine="645"/>
        <w:textAlignment w:val="auto"/>
        <w:rPr>
          <w:rFonts w:hint="eastAsia" w:ascii="微软雅黑" w:hAnsi="微软雅黑" w:eastAsia="微软雅黑" w:cs="微软雅黑"/>
          <w:i w:val="0"/>
          <w:iCs w:val="0"/>
          <w:caps w:val="0"/>
          <w:color w:val="000000"/>
          <w:spacing w:val="0"/>
          <w:sz w:val="32"/>
          <w:szCs w:val="32"/>
        </w:rPr>
      </w:pPr>
      <w:r>
        <w:rPr>
          <w:rFonts w:hint="default" w:ascii="仿宋_GB2312" w:hAnsi="微软雅黑" w:eastAsia="仿宋_GB2312" w:cs="仿宋_GB2312"/>
          <w:i w:val="0"/>
          <w:iCs w:val="0"/>
          <w:caps w:val="0"/>
          <w:color w:val="000000"/>
          <w:spacing w:val="0"/>
          <w:sz w:val="32"/>
          <w:szCs w:val="32"/>
        </w:rPr>
        <w:t>三门峡市民政局202</w:t>
      </w:r>
      <w:r>
        <w:rPr>
          <w:rFonts w:hint="eastAsia" w:ascii="仿宋_GB2312" w:hAnsi="微软雅黑" w:eastAsia="仿宋_GB2312" w:cs="仿宋_GB2312"/>
          <w:i w:val="0"/>
          <w:iCs w:val="0"/>
          <w:caps w:val="0"/>
          <w:color w:val="000000"/>
          <w:spacing w:val="0"/>
          <w:sz w:val="32"/>
          <w:szCs w:val="32"/>
          <w:lang w:val="en-US" w:eastAsia="zh-CN"/>
        </w:rPr>
        <w:t>1</w:t>
      </w:r>
      <w:r>
        <w:rPr>
          <w:rFonts w:hint="default" w:ascii="仿宋_GB2312" w:hAnsi="微软雅黑" w:eastAsia="仿宋_GB2312" w:cs="仿宋_GB2312"/>
          <w:i w:val="0"/>
          <w:iCs w:val="0"/>
          <w:caps w:val="0"/>
          <w:color w:val="000000"/>
          <w:spacing w:val="0"/>
          <w:sz w:val="32"/>
          <w:szCs w:val="32"/>
        </w:rPr>
        <w:t>年一般公共预算基本支出</w:t>
      </w:r>
      <w:r>
        <w:rPr>
          <w:rFonts w:hint="eastAsia" w:ascii="仿宋_GB2312" w:hAnsi="微软雅黑" w:eastAsia="仿宋_GB2312" w:cs="仿宋_GB2312"/>
          <w:i w:val="0"/>
          <w:iCs w:val="0"/>
          <w:caps w:val="0"/>
          <w:color w:val="000000"/>
          <w:spacing w:val="0"/>
          <w:sz w:val="32"/>
          <w:szCs w:val="32"/>
          <w:lang w:val="en-US" w:eastAsia="zh-CN"/>
        </w:rPr>
        <w:t>1710.0919</w:t>
      </w:r>
      <w:r>
        <w:rPr>
          <w:rFonts w:hint="default" w:ascii="仿宋_GB2312" w:hAnsi="微软雅黑" w:eastAsia="仿宋_GB2312" w:cs="仿宋_GB2312"/>
          <w:i w:val="0"/>
          <w:iCs w:val="0"/>
          <w:caps w:val="0"/>
          <w:color w:val="000000"/>
          <w:spacing w:val="0"/>
          <w:sz w:val="32"/>
          <w:szCs w:val="32"/>
        </w:rPr>
        <w:t>万元，其中：人员经费</w:t>
      </w:r>
      <w:r>
        <w:rPr>
          <w:rFonts w:hint="eastAsia" w:ascii="仿宋_GB2312" w:hAnsi="微软雅黑" w:eastAsia="仿宋_GB2312" w:cs="仿宋_GB2312"/>
          <w:i w:val="0"/>
          <w:iCs w:val="0"/>
          <w:caps w:val="0"/>
          <w:color w:val="000000"/>
          <w:spacing w:val="0"/>
          <w:sz w:val="32"/>
          <w:szCs w:val="32"/>
          <w:lang w:val="en-US" w:eastAsia="zh-CN"/>
        </w:rPr>
        <w:t>1604.5457</w:t>
      </w:r>
      <w:r>
        <w:rPr>
          <w:rFonts w:hint="default" w:ascii="仿宋_GB2312" w:hAnsi="微软雅黑" w:eastAsia="仿宋_GB2312" w:cs="仿宋_GB2312"/>
          <w:i w:val="0"/>
          <w:iCs w:val="0"/>
          <w:caps w:val="0"/>
          <w:color w:val="000000"/>
          <w:spacing w:val="0"/>
          <w:sz w:val="32"/>
          <w:szCs w:val="32"/>
        </w:rPr>
        <w:t>万元，主要包括：基本工资、津贴补贴、奖金、社会保障缴费、伙食补助费、绩效工资、其他工资福利支出、离休费、退休费、退职（役）费、抚恤金、生活补助、 医疗费、助学金、奖励金、住房公积金、提租补贴、购房补贴、其他对个人和家庭的补助支出；</w:t>
      </w:r>
      <w:r>
        <w:rPr>
          <w:rFonts w:hint="eastAsia" w:ascii="仿宋_GB2312" w:hAnsi="微软雅黑" w:eastAsia="仿宋_GB2312" w:cs="仿宋_GB2312"/>
          <w:i w:val="0"/>
          <w:iCs w:val="0"/>
          <w:caps w:val="0"/>
          <w:color w:val="000000"/>
          <w:spacing w:val="0"/>
          <w:sz w:val="32"/>
          <w:szCs w:val="32"/>
          <w:lang w:val="en-US" w:eastAsia="zh-CN"/>
        </w:rPr>
        <w:t>商品和服务支出105.5462</w:t>
      </w:r>
      <w:r>
        <w:rPr>
          <w:rFonts w:hint="default" w:ascii="仿宋_GB2312" w:hAnsi="微软雅黑" w:eastAsia="仿宋_GB2312" w:cs="仿宋_GB2312"/>
          <w:i w:val="0"/>
          <w:iCs w:val="0"/>
          <w:caps w:val="0"/>
          <w:color w:val="000000"/>
          <w:spacing w:val="0"/>
          <w:sz w:val="32"/>
          <w:szCs w:val="32"/>
        </w:rPr>
        <w:t>万元，主要包括：办公费、印刷费、咨询费、手续费、水费、电费、邮电费、取暖费、物业管理费、差旅费、因公出国（境）费、维 修（护）费、租赁费、会议费、培训费、公务接待费、专用材料费、劳务费、委托业务费、工会经费、福利费、公务用车运行维护费、其他交通费用、税金及附加费用、其他商品和服务支出、办公设备购置、专用设备购置、大型修缮、信息网络及软件购置更新、其他资本性支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00" w:lineRule="exact"/>
        <w:ind w:left="0" w:right="0" w:firstLine="645"/>
        <w:textAlignment w:val="auto"/>
        <w:rPr>
          <w:rFonts w:hint="eastAsia" w:ascii="微软雅黑" w:hAnsi="微软雅黑" w:eastAsia="微软雅黑" w:cs="微软雅黑"/>
          <w:i w:val="0"/>
          <w:iCs w:val="0"/>
          <w:caps w:val="0"/>
          <w:color w:val="000000"/>
          <w:spacing w:val="0"/>
          <w:sz w:val="32"/>
          <w:szCs w:val="32"/>
        </w:rPr>
      </w:pPr>
      <w:r>
        <w:rPr>
          <w:rFonts w:hint="default" w:ascii="仿宋_GB2312" w:hAnsi="微软雅黑" w:eastAsia="仿宋_GB2312" w:cs="仿宋_GB2312"/>
          <w:i w:val="0"/>
          <w:iCs w:val="0"/>
          <w:caps w:val="0"/>
          <w:color w:val="000000"/>
          <w:spacing w:val="0"/>
          <w:sz w:val="32"/>
          <w:szCs w:val="32"/>
        </w:rPr>
        <w:t>按照《财政部关于印发</w:t>
      </w:r>
      <w:r>
        <w:rPr>
          <w:rFonts w:hint="default" w:ascii="Times New Roman" w:hAnsi="Times New Roman" w:eastAsia="微软雅黑" w:cs="Times New Roman"/>
          <w:i w:val="0"/>
          <w:iCs w:val="0"/>
          <w:caps w:val="0"/>
          <w:color w:val="000000"/>
          <w:spacing w:val="0"/>
          <w:sz w:val="32"/>
          <w:szCs w:val="32"/>
        </w:rPr>
        <w:t>&lt;</w:t>
      </w:r>
      <w:r>
        <w:rPr>
          <w:rFonts w:hint="default" w:ascii="仿宋_GB2312" w:hAnsi="微软雅黑" w:eastAsia="仿宋_GB2312" w:cs="仿宋_GB2312"/>
          <w:i w:val="0"/>
          <w:iCs w:val="0"/>
          <w:caps w:val="0"/>
          <w:color w:val="000000"/>
          <w:spacing w:val="0"/>
          <w:sz w:val="32"/>
          <w:szCs w:val="32"/>
        </w:rPr>
        <w:t>支出经济分类科目改革方案</w:t>
      </w:r>
      <w:r>
        <w:rPr>
          <w:rFonts w:hint="default" w:ascii="Times New Roman" w:hAnsi="Times New Roman" w:eastAsia="微软雅黑" w:cs="Times New Roman"/>
          <w:i w:val="0"/>
          <w:iCs w:val="0"/>
          <w:caps w:val="0"/>
          <w:color w:val="000000"/>
          <w:spacing w:val="0"/>
          <w:sz w:val="32"/>
          <w:szCs w:val="32"/>
        </w:rPr>
        <w:t>&gt;</w:t>
      </w:r>
      <w:r>
        <w:rPr>
          <w:rFonts w:hint="default" w:ascii="仿宋_GB2312" w:hAnsi="微软雅黑" w:eastAsia="仿宋_GB2312" w:cs="仿宋_GB2312"/>
          <w:i w:val="0"/>
          <w:iCs w:val="0"/>
          <w:caps w:val="0"/>
          <w:color w:val="000000"/>
          <w:spacing w:val="0"/>
          <w:sz w:val="32"/>
          <w:szCs w:val="32"/>
        </w:rPr>
        <w:t>的通知》（财预〔</w:t>
      </w:r>
      <w:r>
        <w:rPr>
          <w:rFonts w:hint="default" w:ascii="Times New Roman" w:hAnsi="Times New Roman" w:eastAsia="微软雅黑" w:cs="Times New Roman"/>
          <w:i w:val="0"/>
          <w:iCs w:val="0"/>
          <w:caps w:val="0"/>
          <w:color w:val="000000"/>
          <w:spacing w:val="0"/>
          <w:sz w:val="32"/>
          <w:szCs w:val="32"/>
        </w:rPr>
        <w:t>2017</w:t>
      </w:r>
      <w:r>
        <w:rPr>
          <w:rFonts w:hint="default" w:ascii="仿宋_GB2312" w:hAnsi="微软雅黑" w:eastAsia="仿宋_GB2312" w:cs="仿宋_GB2312"/>
          <w:i w:val="0"/>
          <w:iCs w:val="0"/>
          <w:caps w:val="0"/>
          <w:color w:val="000000"/>
          <w:spacing w:val="0"/>
          <w:sz w:val="32"/>
          <w:szCs w:val="32"/>
        </w:rPr>
        <w:t>〕</w:t>
      </w:r>
      <w:r>
        <w:rPr>
          <w:rFonts w:hint="default" w:ascii="Times New Roman" w:hAnsi="Times New Roman" w:eastAsia="微软雅黑" w:cs="Times New Roman"/>
          <w:i w:val="0"/>
          <w:iCs w:val="0"/>
          <w:caps w:val="0"/>
          <w:color w:val="000000"/>
          <w:spacing w:val="0"/>
          <w:sz w:val="32"/>
          <w:szCs w:val="32"/>
        </w:rPr>
        <w:t>98</w:t>
      </w:r>
      <w:r>
        <w:rPr>
          <w:rFonts w:hint="default" w:ascii="仿宋_GB2312" w:hAnsi="微软雅黑" w:eastAsia="仿宋_GB2312" w:cs="仿宋_GB2312"/>
          <w:i w:val="0"/>
          <w:iCs w:val="0"/>
          <w:caps w:val="0"/>
          <w:color w:val="000000"/>
          <w:spacing w:val="0"/>
          <w:sz w:val="32"/>
          <w:szCs w:val="32"/>
        </w:rPr>
        <w:t>号）要求，从</w:t>
      </w:r>
      <w:r>
        <w:rPr>
          <w:rFonts w:hint="default" w:ascii="Times New Roman" w:hAnsi="Times New Roman" w:eastAsia="微软雅黑" w:cs="Times New Roman"/>
          <w:i w:val="0"/>
          <w:iCs w:val="0"/>
          <w:caps w:val="0"/>
          <w:color w:val="000000"/>
          <w:spacing w:val="0"/>
          <w:sz w:val="32"/>
          <w:szCs w:val="32"/>
        </w:rPr>
        <w:t>2018</w:t>
      </w:r>
      <w:r>
        <w:rPr>
          <w:rFonts w:hint="default" w:ascii="仿宋_GB2312" w:hAnsi="微软雅黑" w:eastAsia="仿宋_GB2312" w:cs="仿宋_GB2312"/>
          <w:i w:val="0"/>
          <w:iCs w:val="0"/>
          <w:caps w:val="0"/>
          <w:color w:val="000000"/>
          <w:spacing w:val="0"/>
          <w:sz w:val="32"/>
          <w:szCs w:val="32"/>
        </w:rPr>
        <w:t>年起全面实施支出经济分类科目改革，根据政府预算管理和部门预算管理的不同特点，分设部门预算支出经济分类科目和政府预算支出经济分类科目，两套科目之间保持对应关系。为适应改革要求，我部门《支出经济分类汇总表》由上年仅反映一般公共预算基本支出经济分类科目预算，调整为按两套经济分类科目分别反映不同资金来源的全部预算支出。</w:t>
      </w:r>
    </w:p>
    <w:p>
      <w:pPr>
        <w:pStyle w:val="11"/>
        <w:pageBreakBefore w:val="0"/>
        <w:kinsoku/>
        <w:wordWrap/>
        <w:overflowPunct/>
        <w:topLinePunct w:val="0"/>
        <w:autoSpaceDE/>
        <w:autoSpaceDN/>
        <w:bidi w:val="0"/>
        <w:spacing w:before="0" w:after="0" w:line="600" w:lineRule="exact"/>
        <w:ind w:firstLine="562"/>
        <w:textAlignment w:val="auto"/>
        <w:outlineLvl w:val="2"/>
        <w:rPr>
          <w:bCs w:val="0"/>
          <w:color w:val="000000"/>
          <w:sz w:val="32"/>
          <w:szCs w:val="32"/>
        </w:rPr>
      </w:pPr>
      <w:r>
        <w:rPr>
          <w:sz w:val="32"/>
          <w:szCs w:val="32"/>
          <w:lang w:val="en-US"/>
        </w:rPr>
        <w:t>2、</w:t>
      </w:r>
      <w:r>
        <w:rPr>
          <w:bCs w:val="0"/>
          <w:color w:val="000000"/>
          <w:sz w:val="32"/>
          <w:szCs w:val="32"/>
        </w:rPr>
        <w:t>资金的管理情况</w:t>
      </w:r>
    </w:p>
    <w:p>
      <w:pPr>
        <w:pStyle w:val="12"/>
        <w:pageBreakBefore w:val="0"/>
        <w:kinsoku/>
        <w:wordWrap/>
        <w:overflowPunct/>
        <w:topLinePunct w:val="0"/>
        <w:autoSpaceDE/>
        <w:autoSpaceDN/>
        <w:bidi w:val="0"/>
        <w:spacing w:line="600" w:lineRule="exact"/>
        <w:ind w:firstLine="560"/>
        <w:textAlignment w:val="auto"/>
        <w:rPr>
          <w:sz w:val="32"/>
          <w:szCs w:val="32"/>
        </w:rPr>
      </w:pPr>
      <w:r>
        <w:rPr>
          <w:rFonts w:hint="eastAsia"/>
          <w:sz w:val="32"/>
          <w:szCs w:val="32"/>
          <w:lang w:eastAsia="zh-CN"/>
        </w:rPr>
        <w:t>三门峡</w:t>
      </w:r>
      <w:r>
        <w:rPr>
          <w:rFonts w:hint="eastAsia"/>
          <w:sz w:val="32"/>
          <w:szCs w:val="32"/>
        </w:rPr>
        <w:t>市民政局</w:t>
      </w:r>
      <w:r>
        <w:rPr>
          <w:sz w:val="32"/>
          <w:szCs w:val="32"/>
        </w:rPr>
        <w:t>制定的《</w:t>
      </w:r>
      <w:r>
        <w:rPr>
          <w:rFonts w:hint="eastAsia"/>
          <w:sz w:val="32"/>
          <w:szCs w:val="32"/>
          <w:lang w:eastAsia="zh-CN"/>
        </w:rPr>
        <w:t>三门峡</w:t>
      </w:r>
      <w:r>
        <w:rPr>
          <w:rFonts w:hint="eastAsia"/>
          <w:sz w:val="32"/>
          <w:szCs w:val="32"/>
        </w:rPr>
        <w:t>市民政局</w:t>
      </w:r>
      <w:bookmarkStart w:id="16" w:name="_GoBack"/>
      <w:bookmarkEnd w:id="16"/>
      <w:r>
        <w:rPr>
          <w:sz w:val="32"/>
          <w:szCs w:val="32"/>
        </w:rPr>
        <w:t>财务管理制度》</w:t>
      </w:r>
      <w:r>
        <w:rPr>
          <w:rFonts w:hint="eastAsia"/>
          <w:sz w:val="32"/>
          <w:szCs w:val="32"/>
        </w:rPr>
        <w:t>、《</w:t>
      </w:r>
      <w:r>
        <w:rPr>
          <w:rFonts w:hint="eastAsia"/>
          <w:sz w:val="32"/>
          <w:szCs w:val="32"/>
          <w:lang w:eastAsia="zh-CN"/>
        </w:rPr>
        <w:t>三门峡</w:t>
      </w:r>
      <w:r>
        <w:rPr>
          <w:rFonts w:hint="eastAsia"/>
          <w:sz w:val="32"/>
          <w:szCs w:val="32"/>
        </w:rPr>
        <w:t>市民政局资产管理制度》以及</w:t>
      </w:r>
      <w:r>
        <w:rPr>
          <w:sz w:val="32"/>
          <w:szCs w:val="32"/>
        </w:rPr>
        <w:t>《</w:t>
      </w:r>
      <w:r>
        <w:rPr>
          <w:rFonts w:hint="eastAsia"/>
          <w:sz w:val="32"/>
          <w:szCs w:val="32"/>
          <w:lang w:eastAsia="zh-CN"/>
        </w:rPr>
        <w:t>三门峡</w:t>
      </w:r>
      <w:r>
        <w:rPr>
          <w:rFonts w:hint="eastAsia"/>
          <w:sz w:val="32"/>
          <w:szCs w:val="32"/>
        </w:rPr>
        <w:t>市民政局事业专项资金管理办法</w:t>
      </w:r>
      <w:r>
        <w:rPr>
          <w:sz w:val="32"/>
          <w:szCs w:val="32"/>
        </w:rPr>
        <w:t>》等制度，对部门预算管理、支出管理、财务审批、经费报销、固定资产管理、</w:t>
      </w:r>
      <w:r>
        <w:rPr>
          <w:rFonts w:hint="eastAsia"/>
          <w:sz w:val="32"/>
          <w:szCs w:val="32"/>
        </w:rPr>
        <w:t>专项资金管理</w:t>
      </w:r>
      <w:r>
        <w:rPr>
          <w:sz w:val="32"/>
          <w:szCs w:val="32"/>
        </w:rPr>
        <w:t>等提出了明确的要求，</w:t>
      </w:r>
      <w:r>
        <w:rPr>
          <w:rFonts w:hint="eastAsia"/>
          <w:sz w:val="32"/>
          <w:szCs w:val="32"/>
          <w:lang w:eastAsia="zh-CN"/>
        </w:rPr>
        <w:t>三门峡</w:t>
      </w:r>
      <w:r>
        <w:rPr>
          <w:rFonts w:hint="eastAsia"/>
          <w:sz w:val="32"/>
          <w:szCs w:val="32"/>
        </w:rPr>
        <w:t>市民政局</w:t>
      </w:r>
      <w:r>
        <w:rPr>
          <w:sz w:val="32"/>
          <w:szCs w:val="32"/>
        </w:rPr>
        <w:t>在部门整体支出管理方面严格参照执行。</w:t>
      </w:r>
    </w:p>
    <w:p>
      <w:pPr>
        <w:pStyle w:val="11"/>
        <w:pageBreakBefore w:val="0"/>
        <w:kinsoku/>
        <w:wordWrap/>
        <w:overflowPunct/>
        <w:topLinePunct w:val="0"/>
        <w:autoSpaceDE/>
        <w:autoSpaceDN/>
        <w:bidi w:val="0"/>
        <w:spacing w:before="0" w:after="0" w:line="600" w:lineRule="exact"/>
        <w:ind w:firstLine="562"/>
        <w:textAlignment w:val="auto"/>
        <w:outlineLvl w:val="2"/>
        <w:rPr>
          <w:sz w:val="32"/>
          <w:szCs w:val="32"/>
          <w:lang w:val="en-US"/>
        </w:rPr>
      </w:pPr>
      <w:r>
        <w:rPr>
          <w:sz w:val="32"/>
          <w:szCs w:val="32"/>
          <w:lang w:val="en-US"/>
        </w:rPr>
        <w:t>3</w:t>
      </w:r>
      <w:r>
        <w:rPr>
          <w:rFonts w:hint="eastAsia"/>
          <w:sz w:val="32"/>
          <w:szCs w:val="32"/>
          <w:lang w:val="en-US"/>
        </w:rPr>
        <w:t>、“</w:t>
      </w:r>
      <w:r>
        <w:rPr>
          <w:rFonts w:hint="eastAsia"/>
          <w:bCs w:val="0"/>
          <w:color w:val="000000"/>
          <w:sz w:val="32"/>
          <w:szCs w:val="32"/>
        </w:rPr>
        <w:t>三公”经费的使用和管理情况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00" w:lineRule="exact"/>
        <w:ind w:left="0" w:right="0" w:firstLine="645"/>
        <w:textAlignment w:val="auto"/>
        <w:rPr>
          <w:rFonts w:hint="default" w:ascii="微软雅黑" w:hAnsi="微软雅黑" w:eastAsia="仿宋_GB2312" w:cs="微软雅黑"/>
          <w:i w:val="0"/>
          <w:iCs w:val="0"/>
          <w:caps w:val="0"/>
          <w:color w:val="000000"/>
          <w:spacing w:val="0"/>
          <w:sz w:val="32"/>
          <w:szCs w:val="32"/>
          <w:lang w:val="en-US" w:eastAsia="zh-CN"/>
        </w:rPr>
      </w:pPr>
      <w:r>
        <w:rPr>
          <w:rFonts w:hint="default" w:ascii="仿宋_GB2312" w:hAnsi="微软雅黑" w:eastAsia="仿宋_GB2312" w:cs="仿宋_GB2312"/>
          <w:i w:val="0"/>
          <w:iCs w:val="0"/>
          <w:caps w:val="0"/>
          <w:color w:val="000000"/>
          <w:spacing w:val="0"/>
          <w:sz w:val="32"/>
          <w:szCs w:val="32"/>
        </w:rPr>
        <w:t>三门峡市民政局202</w:t>
      </w:r>
      <w:r>
        <w:rPr>
          <w:rFonts w:hint="eastAsia" w:ascii="仿宋_GB2312" w:hAnsi="微软雅黑" w:eastAsia="仿宋_GB2312" w:cs="仿宋_GB2312"/>
          <w:i w:val="0"/>
          <w:iCs w:val="0"/>
          <w:caps w:val="0"/>
          <w:color w:val="000000"/>
          <w:spacing w:val="0"/>
          <w:sz w:val="32"/>
          <w:szCs w:val="32"/>
          <w:lang w:val="en-US" w:eastAsia="zh-CN"/>
        </w:rPr>
        <w:t>1</w:t>
      </w:r>
      <w:r>
        <w:rPr>
          <w:rFonts w:hint="default" w:ascii="仿宋_GB2312" w:hAnsi="微软雅黑" w:eastAsia="仿宋_GB2312" w:cs="仿宋_GB2312"/>
          <w:i w:val="0"/>
          <w:iCs w:val="0"/>
          <w:caps w:val="0"/>
          <w:color w:val="000000"/>
          <w:spacing w:val="0"/>
          <w:sz w:val="32"/>
          <w:szCs w:val="32"/>
        </w:rPr>
        <w:t>年“三公”经费预算为</w:t>
      </w:r>
      <w:r>
        <w:rPr>
          <w:rFonts w:hint="eastAsia" w:ascii="仿宋_GB2312" w:hAnsi="微软雅黑" w:eastAsia="仿宋_GB2312" w:cs="仿宋_GB2312"/>
          <w:i w:val="0"/>
          <w:iCs w:val="0"/>
          <w:caps w:val="0"/>
          <w:color w:val="000000"/>
          <w:spacing w:val="0"/>
          <w:sz w:val="32"/>
          <w:szCs w:val="32"/>
          <w:lang w:val="en-US" w:eastAsia="zh-CN"/>
        </w:rPr>
        <w:t>72.75</w:t>
      </w:r>
      <w:r>
        <w:rPr>
          <w:rFonts w:hint="default" w:ascii="仿宋_GB2312" w:hAnsi="微软雅黑" w:eastAsia="仿宋_GB2312" w:cs="仿宋_GB2312"/>
          <w:i w:val="0"/>
          <w:iCs w:val="0"/>
          <w:caps w:val="0"/>
          <w:color w:val="000000"/>
          <w:spacing w:val="0"/>
          <w:sz w:val="32"/>
          <w:szCs w:val="32"/>
        </w:rPr>
        <w:t>万元。202</w:t>
      </w:r>
      <w:r>
        <w:rPr>
          <w:rFonts w:hint="eastAsia" w:ascii="仿宋_GB2312" w:hAnsi="微软雅黑" w:eastAsia="仿宋_GB2312" w:cs="仿宋_GB2312"/>
          <w:i w:val="0"/>
          <w:iCs w:val="0"/>
          <w:caps w:val="0"/>
          <w:color w:val="000000"/>
          <w:spacing w:val="0"/>
          <w:sz w:val="32"/>
          <w:szCs w:val="32"/>
          <w:lang w:val="en-US" w:eastAsia="zh-CN"/>
        </w:rPr>
        <w:t>1</w:t>
      </w:r>
      <w:r>
        <w:rPr>
          <w:rFonts w:hint="default" w:ascii="仿宋_GB2312" w:hAnsi="微软雅黑" w:eastAsia="仿宋_GB2312" w:cs="仿宋_GB2312"/>
          <w:i w:val="0"/>
          <w:iCs w:val="0"/>
          <w:caps w:val="0"/>
          <w:color w:val="000000"/>
          <w:spacing w:val="0"/>
          <w:sz w:val="32"/>
          <w:szCs w:val="32"/>
        </w:rPr>
        <w:t>年“三公”经费支出预算数比20</w:t>
      </w:r>
      <w:r>
        <w:rPr>
          <w:rFonts w:hint="eastAsia" w:ascii="仿宋_GB2312" w:hAnsi="微软雅黑" w:eastAsia="仿宋_GB2312" w:cs="仿宋_GB2312"/>
          <w:i w:val="0"/>
          <w:iCs w:val="0"/>
          <w:caps w:val="0"/>
          <w:color w:val="000000"/>
          <w:spacing w:val="0"/>
          <w:sz w:val="32"/>
          <w:szCs w:val="32"/>
          <w:lang w:val="en-US" w:eastAsia="zh-CN"/>
        </w:rPr>
        <w:t>20</w:t>
      </w:r>
      <w:r>
        <w:rPr>
          <w:rFonts w:hint="default" w:ascii="仿宋_GB2312" w:hAnsi="微软雅黑" w:eastAsia="仿宋_GB2312" w:cs="仿宋_GB2312"/>
          <w:i w:val="0"/>
          <w:iCs w:val="0"/>
          <w:caps w:val="0"/>
          <w:color w:val="000000"/>
          <w:spacing w:val="0"/>
          <w:sz w:val="32"/>
          <w:szCs w:val="32"/>
        </w:rPr>
        <w:t>年</w:t>
      </w:r>
      <w:r>
        <w:rPr>
          <w:rFonts w:hint="eastAsia" w:ascii="仿宋_GB2312" w:hAnsi="微软雅黑" w:eastAsia="仿宋_GB2312" w:cs="仿宋_GB2312"/>
          <w:i w:val="0"/>
          <w:iCs w:val="0"/>
          <w:caps w:val="0"/>
          <w:color w:val="000000"/>
          <w:spacing w:val="0"/>
          <w:sz w:val="32"/>
          <w:szCs w:val="32"/>
          <w:lang w:val="en-US" w:eastAsia="zh-CN"/>
        </w:rPr>
        <w:t>增加27.05</w:t>
      </w:r>
      <w:r>
        <w:rPr>
          <w:rFonts w:hint="default" w:ascii="仿宋_GB2312" w:hAnsi="微软雅黑" w:eastAsia="仿宋_GB2312" w:cs="仿宋_GB2312"/>
          <w:i w:val="0"/>
          <w:iCs w:val="0"/>
          <w:caps w:val="0"/>
          <w:color w:val="000000"/>
          <w:spacing w:val="0"/>
          <w:sz w:val="32"/>
          <w:szCs w:val="32"/>
        </w:rPr>
        <w:t>万元</w:t>
      </w:r>
      <w:r>
        <w:rPr>
          <w:rFonts w:hint="eastAsia" w:ascii="仿宋_GB2312" w:hAnsi="微软雅黑" w:eastAsia="仿宋_GB2312" w:cs="仿宋_GB2312"/>
          <w:i w:val="0"/>
          <w:iCs w:val="0"/>
          <w:caps w:val="0"/>
          <w:color w:val="000000"/>
          <w:spacing w:val="0"/>
          <w:sz w:val="32"/>
          <w:szCs w:val="32"/>
          <w:lang w:eastAsia="zh-CN"/>
        </w:rPr>
        <w:t>，</w:t>
      </w:r>
      <w:r>
        <w:rPr>
          <w:rFonts w:hint="eastAsia" w:ascii="仿宋_GB2312" w:hAnsi="微软雅黑" w:eastAsia="仿宋_GB2312" w:cs="仿宋_GB2312"/>
          <w:i w:val="0"/>
          <w:iCs w:val="0"/>
          <w:caps w:val="0"/>
          <w:color w:val="000000"/>
          <w:spacing w:val="0"/>
          <w:sz w:val="32"/>
          <w:szCs w:val="32"/>
          <w:lang w:val="en-US" w:eastAsia="zh-CN"/>
        </w:rPr>
        <w:t>主要是因为三门峡市民政局现在使用的公务车年久，需要购买公务用车用于民政工作开展。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00" w:lineRule="exact"/>
        <w:ind w:left="0" w:right="0" w:firstLine="645"/>
        <w:textAlignment w:val="auto"/>
        <w:rPr>
          <w:rFonts w:hint="eastAsia" w:ascii="微软雅黑" w:hAnsi="微软雅黑" w:eastAsia="微软雅黑" w:cs="微软雅黑"/>
          <w:b/>
          <w:bCs/>
          <w:i w:val="0"/>
          <w:iCs w:val="0"/>
          <w:caps w:val="0"/>
          <w:color w:val="000000"/>
          <w:spacing w:val="0"/>
          <w:sz w:val="32"/>
          <w:szCs w:val="32"/>
        </w:rPr>
      </w:pPr>
      <w:r>
        <w:rPr>
          <w:rFonts w:hint="default" w:ascii="仿宋_GB2312" w:hAnsi="微软雅黑" w:eastAsia="仿宋_GB2312" w:cs="仿宋_GB2312"/>
          <w:b/>
          <w:bCs/>
          <w:i w:val="0"/>
          <w:iCs w:val="0"/>
          <w:caps w:val="0"/>
          <w:color w:val="000000"/>
          <w:spacing w:val="0"/>
          <w:sz w:val="32"/>
          <w:szCs w:val="32"/>
        </w:rPr>
        <w:t>具体支出情况如下：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00" w:lineRule="exact"/>
        <w:ind w:left="0" w:right="0" w:firstLine="645"/>
        <w:textAlignment w:val="auto"/>
        <w:rPr>
          <w:rFonts w:hint="default" w:ascii="微软雅黑" w:hAnsi="微软雅黑" w:eastAsia="仿宋_GB2312" w:cs="微软雅黑"/>
          <w:i w:val="0"/>
          <w:iCs w:val="0"/>
          <w:caps w:val="0"/>
          <w:color w:val="000000"/>
          <w:spacing w:val="0"/>
          <w:sz w:val="32"/>
          <w:szCs w:val="32"/>
          <w:lang w:val="en-US" w:eastAsia="zh-CN"/>
        </w:rPr>
      </w:pPr>
      <w:r>
        <w:rPr>
          <w:rFonts w:hint="default" w:ascii="仿宋_GB2312" w:hAnsi="微软雅黑" w:eastAsia="仿宋_GB2312" w:cs="仿宋_GB2312"/>
          <w:i w:val="0"/>
          <w:iCs w:val="0"/>
          <w:caps w:val="0"/>
          <w:color w:val="000000"/>
          <w:spacing w:val="0"/>
          <w:sz w:val="32"/>
          <w:szCs w:val="32"/>
        </w:rPr>
        <w:t>（一）因公出国（境）费0万元，主要用于单位工作人员公务出国（境）的住宿费、旅费、伙食补助费、杂费、培训费等支出。预算数比20</w:t>
      </w:r>
      <w:r>
        <w:rPr>
          <w:rFonts w:hint="eastAsia" w:ascii="仿宋_GB2312" w:hAnsi="微软雅黑" w:eastAsia="仿宋_GB2312" w:cs="仿宋_GB2312"/>
          <w:i w:val="0"/>
          <w:iCs w:val="0"/>
          <w:caps w:val="0"/>
          <w:color w:val="000000"/>
          <w:spacing w:val="0"/>
          <w:sz w:val="32"/>
          <w:szCs w:val="32"/>
          <w:lang w:val="en-US" w:eastAsia="zh-CN"/>
        </w:rPr>
        <w:t>20</w:t>
      </w:r>
      <w:r>
        <w:rPr>
          <w:rFonts w:hint="default" w:ascii="仿宋_GB2312" w:hAnsi="微软雅黑" w:eastAsia="仿宋_GB2312" w:cs="仿宋_GB2312"/>
          <w:i w:val="0"/>
          <w:iCs w:val="0"/>
          <w:caps w:val="0"/>
          <w:color w:val="000000"/>
          <w:spacing w:val="0"/>
          <w:sz w:val="32"/>
          <w:szCs w:val="32"/>
        </w:rPr>
        <w:t>年</w:t>
      </w:r>
      <w:r>
        <w:rPr>
          <w:rFonts w:hint="eastAsia" w:ascii="仿宋_GB2312" w:hAnsi="微软雅黑" w:eastAsia="仿宋_GB2312" w:cs="仿宋_GB2312"/>
          <w:i w:val="0"/>
          <w:iCs w:val="0"/>
          <w:caps w:val="0"/>
          <w:color w:val="000000"/>
          <w:spacing w:val="0"/>
          <w:sz w:val="32"/>
          <w:szCs w:val="32"/>
          <w:lang w:val="en-US" w:eastAsia="zh-CN"/>
        </w:rPr>
        <w:t>增加6</w:t>
      </w:r>
      <w:r>
        <w:rPr>
          <w:rFonts w:hint="default" w:ascii="仿宋_GB2312" w:hAnsi="微软雅黑" w:eastAsia="仿宋_GB2312" w:cs="仿宋_GB2312"/>
          <w:i w:val="0"/>
          <w:iCs w:val="0"/>
          <w:caps w:val="0"/>
          <w:color w:val="000000"/>
          <w:spacing w:val="0"/>
          <w:sz w:val="32"/>
          <w:szCs w:val="32"/>
        </w:rPr>
        <w:t>万元，</w:t>
      </w:r>
      <w:r>
        <w:rPr>
          <w:rFonts w:hint="eastAsia" w:ascii="仿宋_GB2312" w:hAnsi="微软雅黑" w:eastAsia="仿宋_GB2312" w:cs="仿宋_GB2312"/>
          <w:i w:val="0"/>
          <w:iCs w:val="0"/>
          <w:caps w:val="0"/>
          <w:color w:val="000000"/>
          <w:spacing w:val="0"/>
          <w:sz w:val="32"/>
          <w:szCs w:val="32"/>
          <w:lang w:val="en-US" w:eastAsia="zh-CN"/>
        </w:rPr>
        <w:t>增加</w:t>
      </w:r>
      <w:r>
        <w:rPr>
          <w:rFonts w:hint="default" w:ascii="仿宋_GB2312" w:hAnsi="微软雅黑" w:eastAsia="仿宋_GB2312" w:cs="仿宋_GB2312"/>
          <w:i w:val="0"/>
          <w:iCs w:val="0"/>
          <w:caps w:val="0"/>
          <w:color w:val="000000"/>
          <w:spacing w:val="0"/>
          <w:sz w:val="32"/>
          <w:szCs w:val="32"/>
        </w:rPr>
        <w:t>原因为今年上级部门</w:t>
      </w:r>
      <w:r>
        <w:rPr>
          <w:rFonts w:hint="eastAsia" w:ascii="仿宋_GB2312" w:hAnsi="微软雅黑" w:eastAsia="仿宋_GB2312" w:cs="仿宋_GB2312"/>
          <w:i w:val="0"/>
          <w:iCs w:val="0"/>
          <w:caps w:val="0"/>
          <w:color w:val="000000"/>
          <w:spacing w:val="0"/>
          <w:sz w:val="32"/>
          <w:szCs w:val="32"/>
          <w:lang w:val="en-US" w:eastAsia="zh-CN"/>
        </w:rPr>
        <w:t>有</w:t>
      </w:r>
      <w:r>
        <w:rPr>
          <w:rFonts w:hint="default" w:ascii="仿宋_GB2312" w:hAnsi="微软雅黑" w:eastAsia="仿宋_GB2312" w:cs="仿宋_GB2312"/>
          <w:i w:val="0"/>
          <w:iCs w:val="0"/>
          <w:caps w:val="0"/>
          <w:color w:val="000000"/>
          <w:spacing w:val="0"/>
          <w:sz w:val="32"/>
          <w:szCs w:val="32"/>
        </w:rPr>
        <w:t>安排业务考察工作</w:t>
      </w:r>
      <w:r>
        <w:rPr>
          <w:rFonts w:hint="eastAsia" w:ascii="仿宋_GB2312" w:hAnsi="微软雅黑" w:eastAsia="仿宋_GB2312" w:cs="仿宋_GB2312"/>
          <w:i w:val="0"/>
          <w:iCs w:val="0"/>
          <w:caps w:val="0"/>
          <w:color w:val="000000"/>
          <w:spacing w:val="0"/>
          <w:sz w:val="32"/>
          <w:szCs w:val="32"/>
          <w:lang w:eastAsia="zh-CN"/>
        </w:rPr>
        <w:t>，</w:t>
      </w:r>
      <w:r>
        <w:rPr>
          <w:rFonts w:hint="eastAsia" w:ascii="仿宋_GB2312" w:hAnsi="微软雅黑" w:eastAsia="仿宋_GB2312" w:cs="仿宋_GB2312"/>
          <w:i w:val="0"/>
          <w:iCs w:val="0"/>
          <w:caps w:val="0"/>
          <w:color w:val="000000"/>
          <w:spacing w:val="0"/>
          <w:sz w:val="32"/>
          <w:szCs w:val="32"/>
          <w:lang w:val="en-US" w:eastAsia="zh-CN"/>
        </w:rPr>
        <w:t>因为疫情形式未实施。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00" w:lineRule="exact"/>
        <w:ind w:left="0" w:right="0" w:firstLine="640" w:firstLineChars="200"/>
        <w:textAlignment w:val="auto"/>
        <w:rPr>
          <w:rFonts w:hint="eastAsia" w:ascii="微软雅黑" w:hAnsi="微软雅黑" w:eastAsia="微软雅黑" w:cs="微软雅黑"/>
          <w:i w:val="0"/>
          <w:iCs w:val="0"/>
          <w:caps w:val="0"/>
          <w:color w:val="000000"/>
          <w:spacing w:val="0"/>
          <w:sz w:val="32"/>
          <w:szCs w:val="32"/>
        </w:rPr>
      </w:pPr>
      <w:r>
        <w:rPr>
          <w:rFonts w:hint="default" w:ascii="仿宋_GB2312" w:hAnsi="微软雅黑" w:eastAsia="仿宋_GB2312" w:cs="仿宋_GB2312"/>
          <w:i w:val="0"/>
          <w:iCs w:val="0"/>
          <w:caps w:val="0"/>
          <w:color w:val="000000"/>
          <w:spacing w:val="0"/>
          <w:sz w:val="32"/>
          <w:szCs w:val="32"/>
        </w:rPr>
        <w:t>（二）公务用车购置及运行费</w:t>
      </w:r>
      <w:r>
        <w:rPr>
          <w:rFonts w:hint="eastAsia" w:ascii="仿宋_GB2312" w:hAnsi="微软雅黑" w:eastAsia="仿宋_GB2312" w:cs="仿宋_GB2312"/>
          <w:i w:val="0"/>
          <w:iCs w:val="0"/>
          <w:caps w:val="0"/>
          <w:color w:val="000000"/>
          <w:spacing w:val="0"/>
          <w:sz w:val="32"/>
          <w:szCs w:val="32"/>
          <w:lang w:val="en-US" w:eastAsia="zh-CN"/>
        </w:rPr>
        <w:t>63.95</w:t>
      </w:r>
      <w:r>
        <w:rPr>
          <w:rFonts w:hint="default" w:ascii="仿宋_GB2312" w:hAnsi="微软雅黑" w:eastAsia="仿宋_GB2312" w:cs="仿宋_GB2312"/>
          <w:i w:val="0"/>
          <w:iCs w:val="0"/>
          <w:caps w:val="0"/>
          <w:color w:val="000000"/>
          <w:spacing w:val="0"/>
          <w:sz w:val="32"/>
          <w:szCs w:val="32"/>
        </w:rPr>
        <w:t>万元，其中，公务用车购置费 </w:t>
      </w:r>
      <w:r>
        <w:rPr>
          <w:rFonts w:hint="eastAsia" w:ascii="仿宋_GB2312" w:hAnsi="微软雅黑" w:eastAsia="仿宋_GB2312" w:cs="仿宋_GB2312"/>
          <w:i w:val="0"/>
          <w:iCs w:val="0"/>
          <w:caps w:val="0"/>
          <w:color w:val="000000"/>
          <w:spacing w:val="0"/>
          <w:sz w:val="32"/>
          <w:szCs w:val="32"/>
          <w:lang w:val="en-US" w:eastAsia="zh-CN"/>
        </w:rPr>
        <w:t>25</w:t>
      </w:r>
      <w:r>
        <w:rPr>
          <w:rFonts w:hint="default" w:ascii="仿宋_GB2312" w:hAnsi="微软雅黑" w:eastAsia="仿宋_GB2312" w:cs="仿宋_GB2312"/>
          <w:i w:val="0"/>
          <w:iCs w:val="0"/>
          <w:caps w:val="0"/>
          <w:color w:val="000000"/>
          <w:spacing w:val="0"/>
          <w:sz w:val="32"/>
          <w:szCs w:val="32"/>
        </w:rPr>
        <w:t>万元，公务用车运行维护费</w:t>
      </w:r>
      <w:r>
        <w:rPr>
          <w:rFonts w:hint="eastAsia" w:ascii="仿宋_GB2312" w:hAnsi="微软雅黑" w:eastAsia="仿宋_GB2312" w:cs="仿宋_GB2312"/>
          <w:i w:val="0"/>
          <w:iCs w:val="0"/>
          <w:caps w:val="0"/>
          <w:color w:val="000000"/>
          <w:spacing w:val="0"/>
          <w:sz w:val="32"/>
          <w:szCs w:val="32"/>
          <w:lang w:val="en-US" w:eastAsia="zh-CN"/>
        </w:rPr>
        <w:t>38.95</w:t>
      </w:r>
      <w:r>
        <w:rPr>
          <w:rFonts w:hint="default" w:ascii="仿宋_GB2312" w:hAnsi="微软雅黑" w:eastAsia="仿宋_GB2312" w:cs="仿宋_GB2312"/>
          <w:i w:val="0"/>
          <w:iCs w:val="0"/>
          <w:caps w:val="0"/>
          <w:color w:val="000000"/>
          <w:spacing w:val="0"/>
          <w:sz w:val="32"/>
          <w:szCs w:val="32"/>
        </w:rPr>
        <w:t>万元，主要用于开展工作所需公务用车的燃料费、维修费、过路过桥费、保险费等支出。</w:t>
      </w:r>
      <w:r>
        <w:rPr>
          <w:rFonts w:hint="eastAsia" w:ascii="仿宋_GB2312" w:hAnsi="微软雅黑" w:eastAsia="仿宋_GB2312" w:cs="仿宋_GB2312"/>
          <w:i w:val="0"/>
          <w:iCs w:val="0"/>
          <w:caps w:val="0"/>
          <w:color w:val="000000"/>
          <w:spacing w:val="0"/>
          <w:sz w:val="32"/>
          <w:szCs w:val="32"/>
          <w:lang w:val="en-US" w:eastAsia="zh-CN"/>
        </w:rPr>
        <w:t>公务用车购置</w:t>
      </w:r>
      <w:r>
        <w:rPr>
          <w:rFonts w:hint="default" w:ascii="仿宋_GB2312" w:hAnsi="微软雅黑" w:eastAsia="仿宋_GB2312" w:cs="仿宋_GB2312"/>
          <w:i w:val="0"/>
          <w:iCs w:val="0"/>
          <w:caps w:val="0"/>
          <w:color w:val="000000"/>
          <w:spacing w:val="0"/>
          <w:sz w:val="32"/>
          <w:szCs w:val="32"/>
        </w:rPr>
        <w:t>预算数</w:t>
      </w:r>
      <w:r>
        <w:rPr>
          <w:rFonts w:hint="eastAsia" w:ascii="仿宋_GB2312" w:hAnsi="微软雅黑" w:eastAsia="仿宋_GB2312" w:cs="仿宋_GB2312"/>
          <w:i w:val="0"/>
          <w:iCs w:val="0"/>
          <w:caps w:val="0"/>
          <w:color w:val="000000"/>
          <w:spacing w:val="0"/>
          <w:sz w:val="32"/>
          <w:szCs w:val="32"/>
          <w:lang w:val="en-US" w:eastAsia="zh-CN"/>
        </w:rPr>
        <w:t>比2020年</w:t>
      </w:r>
      <w:r>
        <w:rPr>
          <w:rFonts w:hint="default" w:ascii="仿宋_GB2312" w:hAnsi="微软雅黑" w:eastAsia="仿宋_GB2312" w:cs="仿宋_GB2312"/>
          <w:i w:val="0"/>
          <w:iCs w:val="0"/>
          <w:caps w:val="0"/>
          <w:color w:val="000000"/>
          <w:spacing w:val="0"/>
          <w:sz w:val="32"/>
          <w:szCs w:val="32"/>
        </w:rPr>
        <w:t>预算数</w:t>
      </w:r>
      <w:r>
        <w:rPr>
          <w:rFonts w:hint="eastAsia" w:ascii="仿宋_GB2312" w:hAnsi="微软雅黑" w:eastAsia="仿宋_GB2312" w:cs="仿宋_GB2312"/>
          <w:i w:val="0"/>
          <w:iCs w:val="0"/>
          <w:caps w:val="0"/>
          <w:color w:val="000000"/>
          <w:spacing w:val="0"/>
          <w:sz w:val="32"/>
          <w:szCs w:val="32"/>
          <w:lang w:val="en-US" w:eastAsia="zh-CN"/>
        </w:rPr>
        <w:t>增加25万元，主要是三门峡市民政局现在使用公务车年久，需要购买公务用车用于民政工作开展；</w:t>
      </w:r>
      <w:r>
        <w:rPr>
          <w:rFonts w:hint="default" w:ascii="仿宋_GB2312" w:hAnsi="微软雅黑" w:eastAsia="仿宋_GB2312" w:cs="仿宋_GB2312"/>
          <w:i w:val="0"/>
          <w:iCs w:val="0"/>
          <w:caps w:val="0"/>
          <w:color w:val="000000"/>
          <w:spacing w:val="0"/>
          <w:sz w:val="32"/>
          <w:szCs w:val="32"/>
        </w:rPr>
        <w:t>公务用车运行维护费预算数比 20</w:t>
      </w:r>
      <w:r>
        <w:rPr>
          <w:rFonts w:hint="eastAsia" w:ascii="仿宋_GB2312" w:hAnsi="微软雅黑" w:eastAsia="仿宋_GB2312" w:cs="仿宋_GB2312"/>
          <w:i w:val="0"/>
          <w:iCs w:val="0"/>
          <w:caps w:val="0"/>
          <w:color w:val="000000"/>
          <w:spacing w:val="0"/>
          <w:sz w:val="32"/>
          <w:szCs w:val="32"/>
          <w:lang w:val="en-US" w:eastAsia="zh-CN"/>
        </w:rPr>
        <w:t>20</w:t>
      </w:r>
      <w:r>
        <w:rPr>
          <w:rFonts w:hint="default" w:ascii="仿宋_GB2312" w:hAnsi="微软雅黑" w:eastAsia="仿宋_GB2312" w:cs="仿宋_GB2312"/>
          <w:i w:val="0"/>
          <w:iCs w:val="0"/>
          <w:caps w:val="0"/>
          <w:color w:val="000000"/>
          <w:spacing w:val="0"/>
          <w:sz w:val="32"/>
          <w:szCs w:val="32"/>
        </w:rPr>
        <w:t>年预算数</w:t>
      </w:r>
      <w:r>
        <w:rPr>
          <w:rFonts w:hint="eastAsia" w:ascii="仿宋_GB2312" w:hAnsi="微软雅黑" w:eastAsia="仿宋_GB2312" w:cs="仿宋_GB2312"/>
          <w:i w:val="0"/>
          <w:iCs w:val="0"/>
          <w:caps w:val="0"/>
          <w:color w:val="000000"/>
          <w:spacing w:val="0"/>
          <w:sz w:val="32"/>
          <w:szCs w:val="32"/>
          <w:lang w:val="en-US" w:eastAsia="zh-CN"/>
        </w:rPr>
        <w:t>减少</w:t>
      </w:r>
      <w:r>
        <w:rPr>
          <w:rFonts w:hint="default" w:ascii="仿宋_GB2312" w:hAnsi="微软雅黑" w:eastAsia="仿宋_GB2312" w:cs="仿宋_GB2312"/>
          <w:i w:val="0"/>
          <w:iCs w:val="0"/>
          <w:caps w:val="0"/>
          <w:color w:val="000000"/>
          <w:spacing w:val="0"/>
          <w:sz w:val="32"/>
          <w:szCs w:val="32"/>
        </w:rPr>
        <w:t>3.</w:t>
      </w:r>
      <w:r>
        <w:rPr>
          <w:rFonts w:hint="eastAsia" w:ascii="仿宋_GB2312" w:hAnsi="微软雅黑" w:eastAsia="仿宋_GB2312" w:cs="仿宋_GB2312"/>
          <w:i w:val="0"/>
          <w:iCs w:val="0"/>
          <w:caps w:val="0"/>
          <w:color w:val="000000"/>
          <w:spacing w:val="0"/>
          <w:sz w:val="32"/>
          <w:szCs w:val="32"/>
          <w:lang w:val="en-US" w:eastAsia="zh-CN"/>
        </w:rPr>
        <w:t>6</w:t>
      </w:r>
      <w:r>
        <w:rPr>
          <w:rFonts w:hint="default" w:ascii="仿宋_GB2312" w:hAnsi="微软雅黑" w:eastAsia="仿宋_GB2312" w:cs="仿宋_GB2312"/>
          <w:i w:val="0"/>
          <w:iCs w:val="0"/>
          <w:caps w:val="0"/>
          <w:color w:val="000000"/>
          <w:spacing w:val="0"/>
          <w:sz w:val="32"/>
          <w:szCs w:val="32"/>
        </w:rPr>
        <w:t>万元，减少的主要原因是事业单位公车改革及贯彻落实中央“八项”规定精神，厉行勤俭节约，公车运行维护费预算相应减少。</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600" w:lineRule="exact"/>
        <w:ind w:left="0" w:right="0" w:firstLine="645"/>
        <w:textAlignment w:val="auto"/>
        <w:rPr>
          <w:rFonts w:hint="eastAsia" w:ascii="微软雅黑" w:hAnsi="微软雅黑" w:eastAsia="微软雅黑" w:cs="微软雅黑"/>
          <w:i w:val="0"/>
          <w:iCs w:val="0"/>
          <w:caps w:val="0"/>
          <w:color w:val="000000"/>
          <w:spacing w:val="0"/>
          <w:sz w:val="32"/>
          <w:szCs w:val="32"/>
        </w:rPr>
      </w:pPr>
      <w:r>
        <w:rPr>
          <w:rFonts w:hint="default" w:ascii="仿宋_GB2312" w:hAnsi="微软雅黑" w:eastAsia="仿宋_GB2312" w:cs="仿宋_GB2312"/>
          <w:i w:val="0"/>
          <w:iCs w:val="0"/>
          <w:caps w:val="0"/>
          <w:color w:val="000000"/>
          <w:spacing w:val="0"/>
          <w:sz w:val="32"/>
          <w:szCs w:val="32"/>
        </w:rPr>
        <w:t>（三）公务接待费</w:t>
      </w:r>
      <w:r>
        <w:rPr>
          <w:rFonts w:hint="eastAsia" w:ascii="仿宋_GB2312" w:hAnsi="微软雅黑" w:eastAsia="仿宋_GB2312" w:cs="仿宋_GB2312"/>
          <w:i w:val="0"/>
          <w:iCs w:val="0"/>
          <w:caps w:val="0"/>
          <w:color w:val="000000"/>
          <w:spacing w:val="0"/>
          <w:sz w:val="32"/>
          <w:szCs w:val="32"/>
          <w:lang w:val="en-US" w:eastAsia="zh-CN"/>
        </w:rPr>
        <w:t>0.5</w:t>
      </w:r>
      <w:r>
        <w:rPr>
          <w:rFonts w:hint="default" w:ascii="仿宋_GB2312" w:hAnsi="微软雅黑" w:eastAsia="仿宋_GB2312" w:cs="仿宋_GB2312"/>
          <w:i w:val="0"/>
          <w:iCs w:val="0"/>
          <w:caps w:val="0"/>
          <w:color w:val="000000"/>
          <w:spacing w:val="0"/>
          <w:sz w:val="32"/>
          <w:szCs w:val="32"/>
        </w:rPr>
        <w:t>万元，主要用于按规定开支的各类公务接待（含外宾接待）支出。预算数比20</w:t>
      </w:r>
      <w:r>
        <w:rPr>
          <w:rFonts w:hint="eastAsia" w:ascii="仿宋_GB2312" w:hAnsi="微软雅黑" w:eastAsia="仿宋_GB2312" w:cs="仿宋_GB2312"/>
          <w:i w:val="0"/>
          <w:iCs w:val="0"/>
          <w:caps w:val="0"/>
          <w:color w:val="000000"/>
          <w:spacing w:val="0"/>
          <w:sz w:val="32"/>
          <w:szCs w:val="32"/>
          <w:lang w:val="en-US" w:eastAsia="zh-CN"/>
        </w:rPr>
        <w:t>20</w:t>
      </w:r>
      <w:r>
        <w:rPr>
          <w:rFonts w:hint="default" w:ascii="仿宋_GB2312" w:hAnsi="微软雅黑" w:eastAsia="仿宋_GB2312" w:cs="仿宋_GB2312"/>
          <w:i w:val="0"/>
          <w:iCs w:val="0"/>
          <w:caps w:val="0"/>
          <w:color w:val="000000"/>
          <w:spacing w:val="0"/>
          <w:sz w:val="32"/>
          <w:szCs w:val="32"/>
        </w:rPr>
        <w:t>年预算数减少</w:t>
      </w:r>
      <w:r>
        <w:rPr>
          <w:rFonts w:hint="eastAsia" w:ascii="仿宋_GB2312" w:hAnsi="微软雅黑" w:eastAsia="仿宋_GB2312" w:cs="仿宋_GB2312"/>
          <w:i w:val="0"/>
          <w:iCs w:val="0"/>
          <w:caps w:val="0"/>
          <w:color w:val="000000"/>
          <w:spacing w:val="0"/>
          <w:sz w:val="32"/>
          <w:szCs w:val="32"/>
          <w:lang w:val="en-US" w:eastAsia="zh-CN"/>
        </w:rPr>
        <w:t>2.6</w:t>
      </w:r>
      <w:r>
        <w:rPr>
          <w:rFonts w:hint="default" w:ascii="仿宋_GB2312" w:hAnsi="微软雅黑" w:eastAsia="仿宋_GB2312" w:cs="仿宋_GB2312"/>
          <w:i w:val="0"/>
          <w:iCs w:val="0"/>
          <w:caps w:val="0"/>
          <w:color w:val="000000"/>
          <w:spacing w:val="0"/>
          <w:sz w:val="32"/>
          <w:szCs w:val="32"/>
        </w:rPr>
        <w:t>万元。减少的主要原因是贯彻落实中央“八项”规定精神，厉行勤俭节约，公务接待费预算相应减少。</w:t>
      </w:r>
    </w:p>
    <w:p>
      <w:pPr>
        <w:pStyle w:val="12"/>
        <w:pageBreakBefore w:val="0"/>
        <w:kinsoku/>
        <w:wordWrap/>
        <w:overflowPunct/>
        <w:topLinePunct w:val="0"/>
        <w:autoSpaceDE/>
        <w:autoSpaceDN/>
        <w:bidi w:val="0"/>
        <w:spacing w:line="600" w:lineRule="exact"/>
        <w:ind w:firstLine="560"/>
        <w:textAlignment w:val="auto"/>
        <w:rPr>
          <w:rFonts w:hint="eastAsia" w:ascii="Times New Roman" w:hAnsi="Times New Roman" w:cs="Times New Roman"/>
          <w:sz w:val="32"/>
          <w:szCs w:val="32"/>
        </w:rPr>
      </w:pPr>
      <w:r>
        <w:rPr>
          <w:rFonts w:hint="eastAsia" w:ascii="Times New Roman" w:hAnsi="Times New Roman" w:cs="Times New Roman"/>
          <w:sz w:val="32"/>
          <w:szCs w:val="32"/>
        </w:rPr>
        <w:t>在管理“三公”经费方面，</w:t>
      </w:r>
      <w:r>
        <w:rPr>
          <w:rFonts w:hint="eastAsia" w:ascii="Times New Roman" w:hAnsi="Times New Roman" w:cs="Times New Roman"/>
          <w:sz w:val="32"/>
          <w:szCs w:val="32"/>
          <w:lang w:eastAsia="zh-CN"/>
        </w:rPr>
        <w:t>三门峡</w:t>
      </w:r>
      <w:r>
        <w:rPr>
          <w:rFonts w:hint="eastAsia" w:ascii="Times New Roman" w:hAnsi="Times New Roman" w:cs="Times New Roman"/>
          <w:sz w:val="32"/>
          <w:szCs w:val="32"/>
        </w:rPr>
        <w:t>市民政局认真执行中央八项规定，严格落实《党政机关厉行节约反对浪费条例》，通过严控一般性支出、强化预算执行动态监控等措施，严控“三公”经费增长，不断</w:t>
      </w:r>
      <w:r>
        <w:rPr>
          <w:rFonts w:ascii="Times New Roman" w:hAnsi="Times New Roman" w:cs="Times New Roman"/>
          <w:sz w:val="32"/>
          <w:szCs w:val="32"/>
        </w:rPr>
        <w:t>加强党风廉政建设</w:t>
      </w:r>
      <w:r>
        <w:rPr>
          <w:rFonts w:hint="eastAsia" w:ascii="Times New Roman" w:hAnsi="Times New Roman" w:cs="Times New Roman"/>
          <w:sz w:val="32"/>
          <w:szCs w:val="32"/>
        </w:rPr>
        <w:t>。</w:t>
      </w:r>
    </w:p>
    <w:p>
      <w:pPr>
        <w:pStyle w:val="12"/>
        <w:pageBreakBefore w:val="0"/>
        <w:numPr>
          <w:ilvl w:val="0"/>
          <w:numId w:val="0"/>
        </w:numPr>
        <w:kinsoku/>
        <w:wordWrap/>
        <w:overflowPunct/>
        <w:topLinePunct w:val="0"/>
        <w:autoSpaceDE/>
        <w:autoSpaceDN/>
        <w:bidi w:val="0"/>
        <w:spacing w:line="60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lang w:eastAsia="zh-CN"/>
        </w:rPr>
        <w:t>）</w:t>
      </w:r>
      <w:r>
        <w:rPr>
          <w:rFonts w:hint="eastAsia" w:ascii="楷体" w:hAnsi="楷体" w:eastAsia="楷体" w:cs="楷体"/>
          <w:b/>
          <w:bCs/>
          <w:sz w:val="32"/>
          <w:szCs w:val="32"/>
        </w:rPr>
        <w:t>项目支出</w:t>
      </w:r>
    </w:p>
    <w:p>
      <w:pPr>
        <w:pStyle w:val="12"/>
        <w:pageBreakBefore w:val="0"/>
        <w:numPr>
          <w:ilvl w:val="0"/>
          <w:numId w:val="0"/>
        </w:numPr>
        <w:kinsoku/>
        <w:wordWrap/>
        <w:overflowPunct/>
        <w:topLinePunct w:val="0"/>
        <w:autoSpaceDE/>
        <w:autoSpaceDN/>
        <w:bidi w:val="0"/>
        <w:spacing w:line="600" w:lineRule="exact"/>
        <w:ind w:firstLine="643" w:firstLineChars="200"/>
        <w:textAlignment w:val="auto"/>
        <w:rPr>
          <w:b/>
          <w:bCs/>
          <w:color w:val="000000"/>
          <w:sz w:val="32"/>
          <w:szCs w:val="32"/>
        </w:rPr>
      </w:pPr>
      <w:r>
        <w:rPr>
          <w:rFonts w:hint="eastAsia"/>
          <w:b/>
          <w:bCs/>
          <w:sz w:val="32"/>
          <w:szCs w:val="32"/>
          <w:lang w:val="en-US" w:eastAsia="zh-CN"/>
        </w:rPr>
        <w:t>1、</w:t>
      </w:r>
      <w:r>
        <w:rPr>
          <w:b/>
          <w:bCs/>
          <w:sz w:val="32"/>
          <w:szCs w:val="32"/>
          <w:lang w:val="en-US"/>
        </w:rPr>
        <w:t>项目资金</w:t>
      </w:r>
      <w:r>
        <w:rPr>
          <w:b/>
          <w:bCs/>
          <w:color w:val="000000"/>
          <w:sz w:val="32"/>
          <w:szCs w:val="32"/>
        </w:rPr>
        <w:t>投入与使用情况</w:t>
      </w:r>
    </w:p>
    <w:p>
      <w:pPr>
        <w:pStyle w:val="12"/>
        <w:pageBreakBefore w:val="0"/>
        <w:numPr>
          <w:ilvl w:val="0"/>
          <w:numId w:val="0"/>
        </w:numPr>
        <w:kinsoku/>
        <w:wordWrap/>
        <w:overflowPunct/>
        <w:topLinePunct w:val="0"/>
        <w:autoSpaceDE/>
        <w:autoSpaceDN/>
        <w:bidi w:val="0"/>
        <w:spacing w:line="600" w:lineRule="exact"/>
        <w:ind w:firstLine="640" w:firstLineChars="200"/>
        <w:textAlignment w:val="auto"/>
        <w:rPr>
          <w:rFonts w:hint="eastAsia"/>
          <w:b w:val="0"/>
          <w:bCs w:val="0"/>
          <w:kern w:val="2"/>
          <w:sz w:val="32"/>
          <w:szCs w:val="32"/>
          <w:lang w:val="en-US"/>
        </w:rPr>
      </w:pPr>
      <w:r>
        <w:rPr>
          <w:rFonts w:hint="eastAsia"/>
          <w:b w:val="0"/>
          <w:bCs w:val="0"/>
          <w:kern w:val="2"/>
          <w:sz w:val="32"/>
          <w:szCs w:val="32"/>
          <w:lang w:val="en-US"/>
        </w:rPr>
        <w:t>20</w:t>
      </w:r>
      <w:r>
        <w:rPr>
          <w:rFonts w:hint="eastAsia"/>
          <w:b w:val="0"/>
          <w:bCs w:val="0"/>
          <w:kern w:val="2"/>
          <w:sz w:val="32"/>
          <w:szCs w:val="32"/>
          <w:lang w:val="en-US" w:eastAsia="zh-CN"/>
        </w:rPr>
        <w:t>21</w:t>
      </w:r>
      <w:r>
        <w:rPr>
          <w:rFonts w:hint="eastAsia"/>
          <w:b w:val="0"/>
          <w:bCs w:val="0"/>
          <w:kern w:val="2"/>
          <w:sz w:val="32"/>
          <w:szCs w:val="32"/>
          <w:lang w:val="en-US"/>
        </w:rPr>
        <w:t>年度一般公共预算财政拨款支出年初预算为</w:t>
      </w:r>
      <w:r>
        <w:rPr>
          <w:rFonts w:hint="eastAsia"/>
          <w:b w:val="0"/>
          <w:bCs w:val="0"/>
          <w:kern w:val="2"/>
          <w:sz w:val="32"/>
          <w:szCs w:val="32"/>
          <w:lang w:val="en-US" w:eastAsia="zh-CN"/>
        </w:rPr>
        <w:t>461.4</w:t>
      </w:r>
      <w:r>
        <w:rPr>
          <w:rFonts w:hint="eastAsia"/>
          <w:b w:val="0"/>
          <w:bCs w:val="0"/>
          <w:kern w:val="2"/>
          <w:sz w:val="32"/>
          <w:szCs w:val="32"/>
          <w:lang w:val="en-US"/>
        </w:rPr>
        <w:t>万元，支出决算为</w:t>
      </w:r>
      <w:r>
        <w:rPr>
          <w:rFonts w:hint="eastAsia"/>
          <w:b w:val="0"/>
          <w:bCs w:val="0"/>
          <w:kern w:val="2"/>
          <w:sz w:val="32"/>
          <w:szCs w:val="32"/>
          <w:lang w:val="en-US" w:eastAsia="zh-CN"/>
        </w:rPr>
        <w:t>427.96178</w:t>
      </w:r>
      <w:r>
        <w:rPr>
          <w:rFonts w:hint="eastAsia"/>
          <w:b w:val="0"/>
          <w:bCs w:val="0"/>
          <w:kern w:val="2"/>
          <w:sz w:val="32"/>
          <w:szCs w:val="32"/>
          <w:lang w:val="en-US"/>
        </w:rPr>
        <w:t>万元，完成年初预算的</w:t>
      </w:r>
      <w:r>
        <w:rPr>
          <w:rFonts w:hint="eastAsia"/>
          <w:b w:val="0"/>
          <w:bCs w:val="0"/>
          <w:kern w:val="2"/>
          <w:sz w:val="32"/>
          <w:szCs w:val="32"/>
          <w:lang w:val="en-US" w:eastAsia="zh-CN"/>
        </w:rPr>
        <w:t>92.8%</w:t>
      </w:r>
      <w:r>
        <w:rPr>
          <w:rFonts w:hint="eastAsia"/>
          <w:b w:val="0"/>
          <w:bCs w:val="0"/>
          <w:kern w:val="2"/>
          <w:sz w:val="32"/>
          <w:szCs w:val="32"/>
          <w:lang w:val="en-US"/>
        </w:rPr>
        <w:t>。其中：</w:t>
      </w:r>
    </w:p>
    <w:p>
      <w:pPr>
        <w:pStyle w:val="12"/>
        <w:pageBreakBefore w:val="0"/>
        <w:kinsoku/>
        <w:wordWrap/>
        <w:overflowPunct/>
        <w:topLinePunct w:val="0"/>
        <w:autoSpaceDE/>
        <w:autoSpaceDN/>
        <w:bidi w:val="0"/>
        <w:spacing w:line="600" w:lineRule="exact"/>
        <w:ind w:firstLine="560"/>
        <w:textAlignment w:val="auto"/>
        <w:rPr>
          <w:rFonts w:hint="eastAsia"/>
          <w:b w:val="0"/>
          <w:bCs w:val="0"/>
          <w:kern w:val="2"/>
          <w:sz w:val="32"/>
          <w:szCs w:val="32"/>
          <w:lang w:val="en-US"/>
        </w:rPr>
      </w:pPr>
      <w:r>
        <w:rPr>
          <w:rFonts w:hint="eastAsia"/>
          <w:b w:val="0"/>
          <w:bCs w:val="0"/>
          <w:kern w:val="2"/>
          <w:sz w:val="32"/>
          <w:szCs w:val="32"/>
          <w:lang w:val="en-US"/>
        </w:rPr>
        <w:t>1．一般行政管理事务（民政管理事务）。年初预算为</w:t>
      </w:r>
      <w:r>
        <w:rPr>
          <w:rFonts w:hint="eastAsia"/>
          <w:b w:val="0"/>
          <w:bCs w:val="0"/>
          <w:kern w:val="2"/>
          <w:sz w:val="32"/>
          <w:szCs w:val="32"/>
          <w:lang w:val="en-US" w:eastAsia="zh-CN"/>
        </w:rPr>
        <w:t>80</w:t>
      </w:r>
      <w:r>
        <w:rPr>
          <w:rFonts w:hint="eastAsia"/>
          <w:b w:val="0"/>
          <w:bCs w:val="0"/>
          <w:kern w:val="2"/>
          <w:sz w:val="32"/>
          <w:szCs w:val="32"/>
          <w:lang w:val="en-US"/>
        </w:rPr>
        <w:t>万元，支出决算为</w:t>
      </w:r>
      <w:r>
        <w:rPr>
          <w:rFonts w:hint="eastAsia"/>
          <w:b w:val="0"/>
          <w:bCs w:val="0"/>
          <w:kern w:val="2"/>
          <w:sz w:val="32"/>
          <w:szCs w:val="32"/>
          <w:lang w:val="en-US" w:eastAsia="zh-CN"/>
        </w:rPr>
        <w:t>79.105974</w:t>
      </w:r>
      <w:r>
        <w:rPr>
          <w:rFonts w:hint="eastAsia"/>
          <w:b w:val="0"/>
          <w:bCs w:val="0"/>
          <w:kern w:val="2"/>
          <w:sz w:val="32"/>
          <w:szCs w:val="32"/>
          <w:lang w:val="en-US"/>
        </w:rPr>
        <w:t>万元。</w:t>
      </w:r>
    </w:p>
    <w:p>
      <w:pPr>
        <w:pStyle w:val="12"/>
        <w:pageBreakBefore w:val="0"/>
        <w:kinsoku/>
        <w:wordWrap/>
        <w:overflowPunct/>
        <w:topLinePunct w:val="0"/>
        <w:autoSpaceDE/>
        <w:autoSpaceDN/>
        <w:bidi w:val="0"/>
        <w:spacing w:line="600" w:lineRule="exact"/>
        <w:ind w:firstLine="560"/>
        <w:textAlignment w:val="auto"/>
        <w:rPr>
          <w:rFonts w:hint="eastAsia"/>
          <w:b w:val="0"/>
          <w:bCs w:val="0"/>
          <w:kern w:val="2"/>
          <w:sz w:val="32"/>
          <w:szCs w:val="32"/>
          <w:lang w:val="en-US"/>
        </w:rPr>
      </w:pPr>
      <w:r>
        <w:rPr>
          <w:rFonts w:hint="eastAsia"/>
          <w:b w:val="0"/>
          <w:bCs w:val="0"/>
          <w:kern w:val="2"/>
          <w:sz w:val="32"/>
          <w:szCs w:val="32"/>
          <w:lang w:val="en-US"/>
        </w:rPr>
        <w:t>2．一般公共服务支出（类）纪检监察事务（款）派驻派出机构（项）。年初预算为</w:t>
      </w:r>
      <w:r>
        <w:rPr>
          <w:rFonts w:hint="eastAsia"/>
          <w:b w:val="0"/>
          <w:bCs w:val="0"/>
          <w:kern w:val="2"/>
          <w:sz w:val="32"/>
          <w:szCs w:val="32"/>
          <w:lang w:val="en-US" w:eastAsia="zh-CN"/>
        </w:rPr>
        <w:t>21.4</w:t>
      </w:r>
      <w:r>
        <w:rPr>
          <w:rFonts w:hint="eastAsia"/>
          <w:b w:val="0"/>
          <w:bCs w:val="0"/>
          <w:kern w:val="2"/>
          <w:sz w:val="32"/>
          <w:szCs w:val="32"/>
          <w:lang w:val="en-US"/>
        </w:rPr>
        <w:t>万元，支出为6.335806万元，决算数与年初预算数存在差异的主要原因是</w:t>
      </w:r>
      <w:r>
        <w:rPr>
          <w:rFonts w:hint="eastAsia"/>
          <w:b w:val="0"/>
          <w:bCs w:val="0"/>
          <w:kern w:val="2"/>
          <w:sz w:val="32"/>
          <w:szCs w:val="32"/>
          <w:lang w:val="en-US" w:eastAsia="zh-CN"/>
        </w:rPr>
        <w:t>派驻机构机构预算经费由三门峡市纪委申报下达，受疫情影响工作开展较少</w:t>
      </w:r>
      <w:r>
        <w:rPr>
          <w:rFonts w:hint="eastAsia"/>
          <w:b w:val="0"/>
          <w:bCs w:val="0"/>
          <w:kern w:val="2"/>
          <w:sz w:val="32"/>
          <w:szCs w:val="32"/>
          <w:lang w:val="en-US"/>
        </w:rPr>
        <w:t>。</w:t>
      </w:r>
    </w:p>
    <w:p>
      <w:pPr>
        <w:pStyle w:val="12"/>
        <w:pageBreakBefore w:val="0"/>
        <w:kinsoku/>
        <w:wordWrap/>
        <w:overflowPunct/>
        <w:topLinePunct w:val="0"/>
        <w:autoSpaceDE/>
        <w:autoSpaceDN/>
        <w:bidi w:val="0"/>
        <w:spacing w:line="600" w:lineRule="exact"/>
        <w:ind w:firstLine="560"/>
        <w:textAlignment w:val="auto"/>
        <w:rPr>
          <w:rFonts w:hint="eastAsia"/>
          <w:b w:val="0"/>
          <w:bCs w:val="0"/>
          <w:kern w:val="2"/>
          <w:sz w:val="32"/>
          <w:szCs w:val="32"/>
          <w:lang w:val="en-US" w:eastAsia="zh-CN"/>
        </w:rPr>
      </w:pPr>
      <w:r>
        <w:rPr>
          <w:rFonts w:hint="eastAsia"/>
          <w:b w:val="0"/>
          <w:bCs w:val="0"/>
          <w:kern w:val="2"/>
          <w:sz w:val="32"/>
          <w:szCs w:val="32"/>
          <w:lang w:val="en-US" w:eastAsia="zh-CN"/>
        </w:rPr>
        <w:t>3</w:t>
      </w:r>
      <w:r>
        <w:rPr>
          <w:rFonts w:hint="eastAsia"/>
          <w:b w:val="0"/>
          <w:bCs w:val="0"/>
          <w:kern w:val="2"/>
          <w:sz w:val="32"/>
          <w:szCs w:val="32"/>
          <w:lang w:val="en-US"/>
        </w:rPr>
        <w:t>．社会保障和就业支出（类）临时救助（款）流浪乞讨人员救助支出（项）。年初预算为</w:t>
      </w:r>
      <w:r>
        <w:rPr>
          <w:rFonts w:hint="eastAsia"/>
          <w:b w:val="0"/>
          <w:bCs w:val="0"/>
          <w:kern w:val="2"/>
          <w:sz w:val="32"/>
          <w:szCs w:val="32"/>
          <w:lang w:val="en-US" w:eastAsia="zh-CN"/>
        </w:rPr>
        <w:t>51</w:t>
      </w:r>
      <w:r>
        <w:rPr>
          <w:rFonts w:hint="eastAsia"/>
          <w:b w:val="0"/>
          <w:bCs w:val="0"/>
          <w:kern w:val="2"/>
          <w:sz w:val="32"/>
          <w:szCs w:val="32"/>
          <w:lang w:val="en-US"/>
        </w:rPr>
        <w:t>万元，</w:t>
      </w:r>
      <w:r>
        <w:rPr>
          <w:rFonts w:hint="eastAsia"/>
          <w:b w:val="0"/>
          <w:bCs w:val="0"/>
          <w:kern w:val="2"/>
          <w:sz w:val="32"/>
          <w:szCs w:val="32"/>
          <w:lang w:val="en-US" w:eastAsia="zh-CN"/>
        </w:rPr>
        <w:t>其中</w:t>
      </w:r>
      <w:r>
        <w:rPr>
          <w:rFonts w:hint="eastAsia"/>
          <w:b w:val="0"/>
          <w:bCs w:val="0"/>
          <w:kern w:val="2"/>
          <w:sz w:val="32"/>
          <w:szCs w:val="32"/>
          <w:lang w:val="en-US"/>
        </w:rPr>
        <w:t>三门峡市救助管理站维护及设备购置</w:t>
      </w:r>
      <w:r>
        <w:rPr>
          <w:rFonts w:hint="eastAsia"/>
          <w:b w:val="0"/>
          <w:bCs w:val="0"/>
          <w:kern w:val="2"/>
          <w:sz w:val="32"/>
          <w:szCs w:val="32"/>
          <w:lang w:val="en-US" w:eastAsia="zh-CN"/>
        </w:rPr>
        <w:t>费用6万元，为非税收入</w:t>
      </w:r>
      <w:r>
        <w:rPr>
          <w:rFonts w:hint="eastAsia"/>
          <w:b w:val="0"/>
          <w:bCs w:val="0"/>
          <w:kern w:val="2"/>
          <w:sz w:val="32"/>
          <w:szCs w:val="32"/>
          <w:lang w:val="en-US"/>
        </w:rPr>
        <w:t>支出</w:t>
      </w:r>
      <w:r>
        <w:rPr>
          <w:rFonts w:hint="eastAsia"/>
          <w:b w:val="0"/>
          <w:bCs w:val="0"/>
          <w:kern w:val="2"/>
          <w:sz w:val="32"/>
          <w:szCs w:val="32"/>
          <w:lang w:val="en-US" w:eastAsia="zh-CN"/>
        </w:rPr>
        <w:t>全部支出；其中三门峡市救助管理站流浪乞讨人员救助经费45万元，</w:t>
      </w:r>
      <w:r>
        <w:rPr>
          <w:rFonts w:hint="eastAsia"/>
          <w:b w:val="0"/>
          <w:bCs w:val="0"/>
          <w:kern w:val="2"/>
          <w:sz w:val="32"/>
          <w:szCs w:val="32"/>
          <w:lang w:val="en-US"/>
        </w:rPr>
        <w:t>支出为27.52万元，完成年初预算的</w:t>
      </w:r>
      <w:r>
        <w:rPr>
          <w:rFonts w:hint="eastAsia"/>
          <w:b w:val="0"/>
          <w:bCs w:val="0"/>
          <w:kern w:val="2"/>
          <w:sz w:val="32"/>
          <w:szCs w:val="32"/>
          <w:lang w:val="en-US" w:eastAsia="zh-CN"/>
        </w:rPr>
        <w:t>61.16%，主要原因支付不及时，未全部支出</w:t>
      </w:r>
      <w:r>
        <w:rPr>
          <w:rFonts w:hint="eastAsia"/>
          <w:b w:val="0"/>
          <w:bCs w:val="0"/>
          <w:kern w:val="2"/>
          <w:sz w:val="32"/>
          <w:szCs w:val="32"/>
          <w:lang w:val="en-US"/>
        </w:rPr>
        <w:t>。</w:t>
      </w:r>
    </w:p>
    <w:p>
      <w:pPr>
        <w:pStyle w:val="12"/>
        <w:pageBreakBefore w:val="0"/>
        <w:numPr>
          <w:ilvl w:val="0"/>
          <w:numId w:val="0"/>
        </w:numPr>
        <w:kinsoku/>
        <w:wordWrap/>
        <w:overflowPunct/>
        <w:topLinePunct w:val="0"/>
        <w:autoSpaceDE/>
        <w:autoSpaceDN/>
        <w:bidi w:val="0"/>
        <w:spacing w:line="600" w:lineRule="exact"/>
        <w:ind w:firstLine="640" w:firstLineChars="200"/>
        <w:textAlignment w:val="auto"/>
        <w:rPr>
          <w:rFonts w:hint="eastAsia" w:eastAsia="仿宋_GB2312"/>
          <w:b w:val="0"/>
          <w:bCs w:val="0"/>
          <w:kern w:val="2"/>
          <w:sz w:val="32"/>
          <w:szCs w:val="32"/>
          <w:lang w:val="en-US" w:eastAsia="zh-CN"/>
        </w:rPr>
      </w:pPr>
      <w:r>
        <w:rPr>
          <w:rFonts w:hint="eastAsia"/>
          <w:b w:val="0"/>
          <w:bCs w:val="0"/>
          <w:kern w:val="2"/>
          <w:sz w:val="32"/>
          <w:szCs w:val="32"/>
          <w:lang w:val="en-US" w:eastAsia="zh-CN"/>
        </w:rPr>
        <w:t>4.</w:t>
      </w:r>
      <w:r>
        <w:rPr>
          <w:rFonts w:hint="eastAsia"/>
          <w:b w:val="0"/>
          <w:bCs w:val="0"/>
          <w:kern w:val="2"/>
          <w:sz w:val="32"/>
          <w:szCs w:val="32"/>
          <w:lang w:val="en-US"/>
        </w:rPr>
        <w:t>社会保障和就业支出（类）社会福利（款）社会福利事业单位</w:t>
      </w:r>
      <w:r>
        <w:rPr>
          <w:rFonts w:hint="eastAsia"/>
          <w:b w:val="0"/>
          <w:bCs w:val="0"/>
          <w:kern w:val="2"/>
          <w:sz w:val="32"/>
          <w:szCs w:val="32"/>
          <w:lang w:val="en-US" w:eastAsia="zh-CN"/>
        </w:rPr>
        <w:t>支出</w:t>
      </w:r>
      <w:r>
        <w:rPr>
          <w:rFonts w:hint="eastAsia"/>
          <w:b w:val="0"/>
          <w:bCs w:val="0"/>
          <w:kern w:val="2"/>
          <w:sz w:val="32"/>
          <w:szCs w:val="32"/>
          <w:lang w:val="en-US"/>
        </w:rPr>
        <w:t>。年初预算为</w:t>
      </w:r>
      <w:r>
        <w:rPr>
          <w:rFonts w:hint="eastAsia"/>
          <w:b w:val="0"/>
          <w:bCs w:val="0"/>
          <w:kern w:val="2"/>
          <w:sz w:val="32"/>
          <w:szCs w:val="32"/>
          <w:lang w:val="en-US" w:eastAsia="zh-CN"/>
        </w:rPr>
        <w:t>296</w:t>
      </w:r>
      <w:r>
        <w:rPr>
          <w:rFonts w:hint="eastAsia"/>
          <w:b w:val="0"/>
          <w:bCs w:val="0"/>
          <w:kern w:val="2"/>
          <w:sz w:val="32"/>
          <w:szCs w:val="32"/>
          <w:lang w:val="en-US"/>
        </w:rPr>
        <w:t>万元，支出为</w:t>
      </w:r>
      <w:r>
        <w:rPr>
          <w:rFonts w:hint="eastAsia"/>
          <w:b w:val="0"/>
          <w:bCs w:val="0"/>
          <w:kern w:val="2"/>
          <w:sz w:val="32"/>
          <w:szCs w:val="32"/>
          <w:lang w:val="en-US" w:eastAsia="zh-CN"/>
        </w:rPr>
        <w:t>非税收入安排支出15</w:t>
      </w:r>
      <w:r>
        <w:rPr>
          <w:rFonts w:hint="eastAsia"/>
          <w:b w:val="0"/>
          <w:bCs w:val="0"/>
          <w:kern w:val="2"/>
          <w:sz w:val="32"/>
          <w:szCs w:val="32"/>
          <w:lang w:val="en-US"/>
        </w:rPr>
        <w:t>万元，完成年初预算的100%</w:t>
      </w:r>
      <w:r>
        <w:rPr>
          <w:rFonts w:hint="eastAsia"/>
          <w:b w:val="0"/>
          <w:bCs w:val="0"/>
          <w:kern w:val="2"/>
          <w:sz w:val="32"/>
          <w:szCs w:val="32"/>
          <w:lang w:val="en-US" w:eastAsia="zh-CN"/>
        </w:rPr>
        <w:t>。</w:t>
      </w:r>
    </w:p>
    <w:p>
      <w:pPr>
        <w:pStyle w:val="12"/>
        <w:pageBreakBefore w:val="0"/>
        <w:kinsoku/>
        <w:wordWrap/>
        <w:overflowPunct/>
        <w:topLinePunct w:val="0"/>
        <w:autoSpaceDE/>
        <w:autoSpaceDN/>
        <w:bidi w:val="0"/>
        <w:spacing w:line="600" w:lineRule="exact"/>
        <w:ind w:firstLine="560"/>
        <w:textAlignment w:val="auto"/>
        <w:rPr>
          <w:rFonts w:hint="eastAsia"/>
          <w:b w:val="0"/>
          <w:bCs w:val="0"/>
          <w:kern w:val="2"/>
          <w:sz w:val="32"/>
          <w:szCs w:val="32"/>
          <w:lang w:val="en-US"/>
        </w:rPr>
      </w:pPr>
      <w:r>
        <w:rPr>
          <w:rFonts w:hint="eastAsia"/>
          <w:b w:val="0"/>
          <w:bCs w:val="0"/>
          <w:kern w:val="2"/>
          <w:sz w:val="32"/>
          <w:szCs w:val="32"/>
          <w:lang w:val="en-US" w:eastAsia="zh-CN"/>
        </w:rPr>
        <w:t>5.</w:t>
      </w:r>
      <w:r>
        <w:rPr>
          <w:rFonts w:hint="eastAsia"/>
          <w:b w:val="0"/>
          <w:bCs w:val="0"/>
          <w:kern w:val="2"/>
          <w:sz w:val="32"/>
          <w:szCs w:val="32"/>
          <w:lang w:val="en-US"/>
        </w:rPr>
        <w:t>社会保障和就业支出（类）社会福利（款）</w:t>
      </w:r>
      <w:r>
        <w:rPr>
          <w:rFonts w:hint="eastAsia"/>
          <w:b w:val="0"/>
          <w:bCs w:val="0"/>
          <w:kern w:val="2"/>
          <w:sz w:val="32"/>
          <w:szCs w:val="32"/>
          <w:lang w:val="en-US" w:eastAsia="zh-CN"/>
        </w:rPr>
        <w:t>殡葬</w:t>
      </w:r>
      <w:r>
        <w:rPr>
          <w:rFonts w:hint="eastAsia"/>
          <w:b w:val="0"/>
          <w:bCs w:val="0"/>
          <w:kern w:val="2"/>
          <w:sz w:val="32"/>
          <w:szCs w:val="32"/>
          <w:lang w:val="en-US"/>
        </w:rPr>
        <w:t>。年初预算为</w:t>
      </w:r>
      <w:r>
        <w:rPr>
          <w:rFonts w:hint="eastAsia"/>
          <w:b w:val="0"/>
          <w:bCs w:val="0"/>
          <w:kern w:val="2"/>
          <w:sz w:val="32"/>
          <w:szCs w:val="32"/>
          <w:lang w:val="en-US" w:eastAsia="zh-CN"/>
        </w:rPr>
        <w:t>3</w:t>
      </w:r>
      <w:r>
        <w:rPr>
          <w:rFonts w:hint="eastAsia"/>
          <w:b w:val="0"/>
          <w:bCs w:val="0"/>
          <w:kern w:val="2"/>
          <w:sz w:val="32"/>
          <w:szCs w:val="32"/>
          <w:lang w:val="en-US"/>
        </w:rPr>
        <w:t>万元，支出决算为</w:t>
      </w:r>
      <w:r>
        <w:rPr>
          <w:rFonts w:hint="eastAsia"/>
          <w:b w:val="0"/>
          <w:bCs w:val="0"/>
          <w:kern w:val="2"/>
          <w:sz w:val="32"/>
          <w:szCs w:val="32"/>
          <w:lang w:val="en-US" w:eastAsia="zh-CN"/>
        </w:rPr>
        <w:t>3</w:t>
      </w:r>
      <w:r>
        <w:rPr>
          <w:rFonts w:hint="eastAsia"/>
          <w:b w:val="0"/>
          <w:bCs w:val="0"/>
          <w:kern w:val="2"/>
          <w:sz w:val="32"/>
          <w:szCs w:val="32"/>
          <w:lang w:val="en-US"/>
        </w:rPr>
        <w:t>万元，完成年初预算的100%。</w:t>
      </w:r>
    </w:p>
    <w:p>
      <w:pPr>
        <w:pStyle w:val="12"/>
        <w:pageBreakBefore w:val="0"/>
        <w:numPr>
          <w:ilvl w:val="0"/>
          <w:numId w:val="0"/>
        </w:numPr>
        <w:kinsoku/>
        <w:wordWrap/>
        <w:overflowPunct/>
        <w:topLinePunct w:val="0"/>
        <w:autoSpaceDE/>
        <w:autoSpaceDN/>
        <w:bidi w:val="0"/>
        <w:spacing w:line="600" w:lineRule="exact"/>
        <w:ind w:firstLine="640" w:firstLineChars="200"/>
        <w:textAlignment w:val="auto"/>
        <w:rPr>
          <w:rFonts w:hint="eastAsia" w:eastAsia="仿宋_GB2312"/>
          <w:b w:val="0"/>
          <w:bCs w:val="0"/>
          <w:kern w:val="2"/>
          <w:sz w:val="32"/>
          <w:szCs w:val="32"/>
          <w:lang w:val="en-US" w:eastAsia="zh-CN"/>
        </w:rPr>
      </w:pPr>
      <w:r>
        <w:rPr>
          <w:rFonts w:hint="eastAsia"/>
          <w:b w:val="0"/>
          <w:bCs w:val="0"/>
          <w:kern w:val="2"/>
          <w:sz w:val="32"/>
          <w:szCs w:val="32"/>
          <w:lang w:val="en-US" w:eastAsia="zh-CN"/>
        </w:rPr>
        <w:t>6.</w:t>
      </w:r>
      <w:r>
        <w:rPr>
          <w:rFonts w:hint="eastAsia"/>
          <w:b w:val="0"/>
          <w:bCs w:val="0"/>
          <w:kern w:val="2"/>
          <w:sz w:val="32"/>
          <w:szCs w:val="32"/>
          <w:lang w:val="en-US"/>
        </w:rPr>
        <w:t>社会保障和就业支出（类）社会福利（款）</w:t>
      </w:r>
      <w:r>
        <w:rPr>
          <w:rFonts w:hint="eastAsia"/>
          <w:b w:val="0"/>
          <w:bCs w:val="0"/>
          <w:kern w:val="2"/>
          <w:sz w:val="32"/>
          <w:szCs w:val="32"/>
          <w:lang w:val="en-US" w:eastAsia="zh-CN"/>
        </w:rPr>
        <w:t>慈善</w:t>
      </w:r>
      <w:r>
        <w:rPr>
          <w:rFonts w:hint="eastAsia"/>
          <w:b w:val="0"/>
          <w:bCs w:val="0"/>
          <w:kern w:val="2"/>
          <w:sz w:val="32"/>
          <w:szCs w:val="32"/>
          <w:lang w:val="en-US"/>
        </w:rPr>
        <w:t>支出（项）。年初预算为</w:t>
      </w:r>
      <w:r>
        <w:rPr>
          <w:rFonts w:hint="eastAsia"/>
          <w:b w:val="0"/>
          <w:bCs w:val="0"/>
          <w:kern w:val="2"/>
          <w:sz w:val="32"/>
          <w:szCs w:val="32"/>
          <w:lang w:val="en-US" w:eastAsia="zh-CN"/>
        </w:rPr>
        <w:t>5</w:t>
      </w:r>
      <w:r>
        <w:rPr>
          <w:rFonts w:hint="eastAsia"/>
          <w:b w:val="0"/>
          <w:bCs w:val="0"/>
          <w:kern w:val="2"/>
          <w:sz w:val="32"/>
          <w:szCs w:val="32"/>
          <w:lang w:val="en-US"/>
        </w:rPr>
        <w:t>万元，支出为</w:t>
      </w:r>
      <w:r>
        <w:rPr>
          <w:rFonts w:hint="eastAsia"/>
          <w:b w:val="0"/>
          <w:bCs w:val="0"/>
          <w:kern w:val="2"/>
          <w:sz w:val="32"/>
          <w:szCs w:val="32"/>
          <w:lang w:val="en-US" w:eastAsia="zh-CN"/>
        </w:rPr>
        <w:t>5</w:t>
      </w:r>
      <w:r>
        <w:rPr>
          <w:rFonts w:hint="eastAsia"/>
          <w:b w:val="0"/>
          <w:bCs w:val="0"/>
          <w:kern w:val="2"/>
          <w:sz w:val="32"/>
          <w:szCs w:val="32"/>
          <w:lang w:val="en-US"/>
        </w:rPr>
        <w:t>万元，完成年初预算的100%</w:t>
      </w:r>
      <w:r>
        <w:rPr>
          <w:rFonts w:hint="eastAsia"/>
          <w:b w:val="0"/>
          <w:bCs w:val="0"/>
          <w:kern w:val="2"/>
          <w:sz w:val="32"/>
          <w:szCs w:val="32"/>
          <w:lang w:val="en-US" w:eastAsia="zh-CN"/>
        </w:rPr>
        <w:t>。</w:t>
      </w:r>
    </w:p>
    <w:p>
      <w:pPr>
        <w:pStyle w:val="12"/>
        <w:pageBreakBefore w:val="0"/>
        <w:numPr>
          <w:ilvl w:val="0"/>
          <w:numId w:val="0"/>
        </w:numPr>
        <w:kinsoku/>
        <w:wordWrap/>
        <w:overflowPunct/>
        <w:topLinePunct w:val="0"/>
        <w:autoSpaceDE/>
        <w:autoSpaceDN/>
        <w:bidi w:val="0"/>
        <w:spacing w:line="600" w:lineRule="exact"/>
        <w:ind w:firstLine="640" w:firstLineChars="200"/>
        <w:textAlignment w:val="auto"/>
        <w:rPr>
          <w:rFonts w:hint="eastAsia" w:eastAsia="仿宋_GB2312"/>
          <w:b w:val="0"/>
          <w:bCs w:val="0"/>
          <w:kern w:val="2"/>
          <w:sz w:val="32"/>
          <w:szCs w:val="32"/>
          <w:lang w:val="en-US" w:eastAsia="zh-CN"/>
        </w:rPr>
      </w:pPr>
      <w:r>
        <w:rPr>
          <w:rFonts w:hint="eastAsia"/>
          <w:b w:val="0"/>
          <w:bCs w:val="0"/>
          <w:kern w:val="2"/>
          <w:sz w:val="32"/>
          <w:szCs w:val="32"/>
          <w:lang w:val="en-US" w:eastAsia="zh-CN"/>
        </w:rPr>
        <w:t>7.</w:t>
      </w:r>
      <w:r>
        <w:rPr>
          <w:rFonts w:hint="eastAsia"/>
          <w:b w:val="0"/>
          <w:bCs w:val="0"/>
          <w:kern w:val="2"/>
          <w:sz w:val="32"/>
          <w:szCs w:val="32"/>
          <w:lang w:val="en-US"/>
        </w:rPr>
        <w:t>社会保障和就业支出（类）社会福利（款）</w:t>
      </w:r>
      <w:r>
        <w:rPr>
          <w:rFonts w:hint="eastAsia"/>
          <w:b w:val="0"/>
          <w:bCs w:val="0"/>
          <w:kern w:val="2"/>
          <w:sz w:val="32"/>
          <w:szCs w:val="32"/>
          <w:lang w:val="en-US" w:eastAsia="zh-CN"/>
        </w:rPr>
        <w:t>养老</w:t>
      </w:r>
      <w:r>
        <w:rPr>
          <w:rFonts w:hint="eastAsia"/>
          <w:b w:val="0"/>
          <w:bCs w:val="0"/>
          <w:kern w:val="2"/>
          <w:sz w:val="32"/>
          <w:szCs w:val="32"/>
          <w:lang w:val="en-US"/>
        </w:rPr>
        <w:t>支出（项）</w:t>
      </w:r>
      <w:r>
        <w:rPr>
          <w:rFonts w:hint="eastAsia"/>
          <w:b w:val="0"/>
          <w:bCs w:val="0"/>
          <w:kern w:val="2"/>
          <w:sz w:val="32"/>
          <w:szCs w:val="32"/>
          <w:lang w:val="en-US" w:eastAsia="zh-CN"/>
        </w:rPr>
        <w:t>。</w:t>
      </w:r>
      <w:r>
        <w:rPr>
          <w:rFonts w:hint="eastAsia"/>
          <w:b w:val="0"/>
          <w:bCs w:val="0"/>
          <w:kern w:val="2"/>
          <w:sz w:val="32"/>
          <w:szCs w:val="32"/>
          <w:lang w:val="en-US"/>
        </w:rPr>
        <w:t>年初预算为</w:t>
      </w:r>
      <w:r>
        <w:rPr>
          <w:rFonts w:hint="eastAsia"/>
          <w:b w:val="0"/>
          <w:bCs w:val="0"/>
          <w:kern w:val="2"/>
          <w:sz w:val="32"/>
          <w:szCs w:val="32"/>
          <w:lang w:val="en-US" w:eastAsia="zh-CN"/>
        </w:rPr>
        <w:t>5</w:t>
      </w:r>
      <w:r>
        <w:rPr>
          <w:rFonts w:hint="eastAsia"/>
          <w:b w:val="0"/>
          <w:bCs w:val="0"/>
          <w:kern w:val="2"/>
          <w:sz w:val="32"/>
          <w:szCs w:val="32"/>
          <w:lang w:val="en-US"/>
        </w:rPr>
        <w:t>万元，支出为</w:t>
      </w:r>
      <w:r>
        <w:rPr>
          <w:rFonts w:hint="eastAsia"/>
          <w:b w:val="0"/>
          <w:bCs w:val="0"/>
          <w:kern w:val="2"/>
          <w:sz w:val="32"/>
          <w:szCs w:val="32"/>
          <w:lang w:val="en-US" w:eastAsia="zh-CN"/>
        </w:rPr>
        <w:t>5</w:t>
      </w:r>
      <w:r>
        <w:rPr>
          <w:rFonts w:hint="eastAsia"/>
          <w:b w:val="0"/>
          <w:bCs w:val="0"/>
          <w:kern w:val="2"/>
          <w:sz w:val="32"/>
          <w:szCs w:val="32"/>
          <w:lang w:val="en-US"/>
        </w:rPr>
        <w:t>万元，完成年初预算的100%。</w:t>
      </w:r>
    </w:p>
    <w:p>
      <w:pPr>
        <w:pStyle w:val="11"/>
        <w:pageBreakBefore w:val="0"/>
        <w:kinsoku/>
        <w:wordWrap/>
        <w:overflowPunct/>
        <w:topLinePunct w:val="0"/>
        <w:autoSpaceDE/>
        <w:autoSpaceDN/>
        <w:bidi w:val="0"/>
        <w:spacing w:before="0" w:after="0" w:line="600" w:lineRule="exact"/>
        <w:ind w:firstLine="562"/>
        <w:textAlignment w:val="auto"/>
        <w:outlineLvl w:val="2"/>
        <w:rPr>
          <w:b/>
          <w:bCs/>
          <w:sz w:val="32"/>
          <w:szCs w:val="32"/>
          <w:lang w:val="en-US"/>
        </w:rPr>
      </w:pPr>
      <w:r>
        <w:rPr>
          <w:rFonts w:hint="eastAsia"/>
          <w:b/>
          <w:bCs/>
          <w:sz w:val="32"/>
          <w:szCs w:val="32"/>
          <w:lang w:val="en-US"/>
        </w:rPr>
        <w:t>2、项目支出管理情况</w:t>
      </w:r>
    </w:p>
    <w:p>
      <w:pPr>
        <w:pStyle w:val="12"/>
        <w:pageBreakBefore w:val="0"/>
        <w:kinsoku/>
        <w:wordWrap/>
        <w:overflowPunct/>
        <w:topLinePunct w:val="0"/>
        <w:autoSpaceDE/>
        <w:autoSpaceDN/>
        <w:bidi w:val="0"/>
        <w:spacing w:line="600" w:lineRule="exact"/>
        <w:ind w:firstLine="560"/>
        <w:textAlignment w:val="auto"/>
        <w:rPr>
          <w:rFonts w:hint="eastAsia"/>
          <w:sz w:val="32"/>
          <w:szCs w:val="32"/>
        </w:rPr>
      </w:pPr>
      <w:r>
        <w:rPr>
          <w:rFonts w:hint="eastAsia"/>
          <w:sz w:val="32"/>
          <w:szCs w:val="32"/>
          <w:lang w:eastAsia="zh-CN"/>
        </w:rPr>
        <w:t>三门峡</w:t>
      </w:r>
      <w:r>
        <w:rPr>
          <w:rFonts w:hint="eastAsia"/>
          <w:sz w:val="32"/>
          <w:szCs w:val="32"/>
        </w:rPr>
        <w:t>市民政局相关项目严格按照实施方案开展。项目支出根据《</w:t>
      </w:r>
      <w:r>
        <w:rPr>
          <w:rFonts w:hint="eastAsia"/>
          <w:sz w:val="32"/>
          <w:szCs w:val="32"/>
          <w:lang w:eastAsia="zh-CN"/>
        </w:rPr>
        <w:t>三门峡</w:t>
      </w:r>
      <w:r>
        <w:rPr>
          <w:rFonts w:hint="eastAsia"/>
          <w:sz w:val="32"/>
          <w:szCs w:val="32"/>
        </w:rPr>
        <w:t>市民政局财务管理制度》、《</w:t>
      </w:r>
      <w:r>
        <w:rPr>
          <w:rFonts w:hint="eastAsia"/>
          <w:sz w:val="32"/>
          <w:szCs w:val="32"/>
          <w:lang w:eastAsia="zh-CN"/>
        </w:rPr>
        <w:t>三门峡</w:t>
      </w:r>
      <w:r>
        <w:rPr>
          <w:rFonts w:hint="eastAsia"/>
          <w:sz w:val="32"/>
          <w:szCs w:val="32"/>
        </w:rPr>
        <w:t>市民政局事业专项资金管理办法》等制度，按规定程序使用专项资金，各项资金支出依据充分、标准合规，不存在截留、挪用、虚列支出等违法违规现象。</w:t>
      </w:r>
    </w:p>
    <w:p>
      <w:pPr>
        <w:pStyle w:val="12"/>
        <w:pageBreakBefore w:val="0"/>
        <w:kinsoku/>
        <w:wordWrap/>
        <w:overflowPunct/>
        <w:topLinePunct w:val="0"/>
        <w:autoSpaceDE/>
        <w:autoSpaceDN/>
        <w:bidi w:val="0"/>
        <w:spacing w:line="600" w:lineRule="exact"/>
        <w:ind w:firstLine="56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、部门（单位）整体支出绩效情况</w:t>
      </w:r>
    </w:p>
    <w:p>
      <w:pPr>
        <w:pStyle w:val="11"/>
        <w:pageBreakBefore w:val="0"/>
        <w:numPr>
          <w:ilvl w:val="0"/>
          <w:numId w:val="1"/>
        </w:numPr>
        <w:kinsoku/>
        <w:wordWrap/>
        <w:overflowPunct/>
        <w:topLinePunct w:val="0"/>
        <w:autoSpaceDE/>
        <w:autoSpaceDN/>
        <w:bidi w:val="0"/>
        <w:spacing w:before="0" w:after="0" w:line="600" w:lineRule="exact"/>
        <w:ind w:firstLineChars="0"/>
        <w:textAlignment w:val="auto"/>
        <w:rPr>
          <w:sz w:val="32"/>
          <w:szCs w:val="32"/>
        </w:rPr>
      </w:pPr>
      <w:r>
        <w:rPr>
          <w:rFonts w:hint="eastAsia"/>
          <w:sz w:val="32"/>
          <w:szCs w:val="32"/>
        </w:rPr>
        <w:t>评分结论</w:t>
      </w:r>
    </w:p>
    <w:p>
      <w:pPr>
        <w:pStyle w:val="12"/>
        <w:pageBreakBefore w:val="0"/>
        <w:kinsoku/>
        <w:wordWrap/>
        <w:overflowPunct/>
        <w:topLinePunct w:val="0"/>
        <w:autoSpaceDE/>
        <w:autoSpaceDN/>
        <w:bidi w:val="0"/>
        <w:spacing w:line="600" w:lineRule="exact"/>
        <w:ind w:firstLine="560"/>
        <w:textAlignment w:val="auto"/>
        <w:rPr>
          <w:sz w:val="32"/>
          <w:szCs w:val="32"/>
        </w:rPr>
      </w:pPr>
      <w:bookmarkStart w:id="11" w:name="OLE_LINK143"/>
      <w:bookmarkStart w:id="12" w:name="OLE_LINK144"/>
      <w:r>
        <w:rPr>
          <w:rFonts w:hint="eastAsia"/>
          <w:sz w:val="32"/>
          <w:szCs w:val="32"/>
        </w:rPr>
        <w:t>根据财政预算管理要求，</w:t>
      </w:r>
      <w:r>
        <w:rPr>
          <w:rFonts w:hint="eastAsia"/>
          <w:sz w:val="32"/>
          <w:szCs w:val="32"/>
          <w:lang w:eastAsia="zh-CN"/>
        </w:rPr>
        <w:t>三门峡</w:t>
      </w:r>
      <w:r>
        <w:rPr>
          <w:rFonts w:hint="eastAsia"/>
          <w:sz w:val="32"/>
          <w:szCs w:val="32"/>
        </w:rPr>
        <w:t>市民政局对20</w:t>
      </w:r>
      <w:r>
        <w:rPr>
          <w:rFonts w:hint="eastAsia"/>
          <w:sz w:val="32"/>
          <w:szCs w:val="32"/>
          <w:lang w:val="en-US" w:eastAsia="zh-CN"/>
        </w:rPr>
        <w:t>21</w:t>
      </w:r>
      <w:r>
        <w:rPr>
          <w:rFonts w:hint="eastAsia"/>
          <w:sz w:val="32"/>
          <w:szCs w:val="32"/>
        </w:rPr>
        <w:t>年度一般公共预算项目支出全面开展绩效自评，自评覆盖率达到100%。</w:t>
      </w:r>
    </w:p>
    <w:p>
      <w:pPr>
        <w:pStyle w:val="12"/>
        <w:pageBreakBefore w:val="0"/>
        <w:kinsoku/>
        <w:wordWrap/>
        <w:overflowPunct/>
        <w:topLinePunct w:val="0"/>
        <w:autoSpaceDE/>
        <w:autoSpaceDN/>
        <w:bidi w:val="0"/>
        <w:spacing w:line="600" w:lineRule="exact"/>
        <w:ind w:firstLine="560"/>
        <w:textAlignment w:val="auto"/>
        <w:rPr>
          <w:sz w:val="32"/>
          <w:szCs w:val="32"/>
        </w:rPr>
      </w:pPr>
      <w:r>
        <w:rPr>
          <w:sz w:val="32"/>
          <w:szCs w:val="32"/>
        </w:rPr>
        <w:t>参考</w:t>
      </w:r>
      <w:r>
        <w:rPr>
          <w:rFonts w:hint="eastAsia"/>
          <w:sz w:val="32"/>
          <w:szCs w:val="32"/>
        </w:rPr>
        <w:t>开展部门整体支出预算绩效自评工作的通知</w:t>
      </w:r>
      <w:r>
        <w:rPr>
          <w:sz w:val="32"/>
          <w:szCs w:val="32"/>
        </w:rPr>
        <w:t>中的相关要求，根据</w:t>
      </w:r>
      <w:r>
        <w:rPr>
          <w:rFonts w:hint="eastAsia"/>
          <w:sz w:val="32"/>
          <w:szCs w:val="32"/>
          <w:lang w:eastAsia="zh-CN"/>
        </w:rPr>
        <w:t>三门峡</w:t>
      </w:r>
      <w:r>
        <w:rPr>
          <w:rFonts w:hint="eastAsia"/>
          <w:sz w:val="32"/>
          <w:szCs w:val="32"/>
        </w:rPr>
        <w:t>市民政局</w:t>
      </w:r>
      <w:r>
        <w:rPr>
          <w:sz w:val="32"/>
          <w:szCs w:val="32"/>
        </w:rPr>
        <w:t>部门职能和20</w:t>
      </w:r>
      <w:r>
        <w:rPr>
          <w:rFonts w:hint="eastAsia"/>
          <w:sz w:val="32"/>
          <w:szCs w:val="32"/>
          <w:lang w:val="en-US" w:eastAsia="zh-CN"/>
        </w:rPr>
        <w:t>21</w:t>
      </w:r>
      <w:r>
        <w:rPr>
          <w:sz w:val="32"/>
          <w:szCs w:val="32"/>
        </w:rPr>
        <w:t>年年度任务，建立了科学、健全的指标体系及评分标准。对20</w:t>
      </w:r>
      <w:r>
        <w:rPr>
          <w:rFonts w:hint="eastAsia"/>
          <w:sz w:val="32"/>
          <w:szCs w:val="32"/>
          <w:lang w:val="en-US" w:eastAsia="zh-CN"/>
        </w:rPr>
        <w:t>21</w:t>
      </w:r>
      <w:r>
        <w:rPr>
          <w:sz w:val="32"/>
          <w:szCs w:val="32"/>
        </w:rPr>
        <w:t>年度</w:t>
      </w:r>
      <w:r>
        <w:rPr>
          <w:rFonts w:hint="eastAsia"/>
          <w:sz w:val="32"/>
          <w:szCs w:val="32"/>
          <w:lang w:eastAsia="zh-CN"/>
        </w:rPr>
        <w:t>三门峡</w:t>
      </w:r>
      <w:r>
        <w:rPr>
          <w:rFonts w:hint="eastAsia"/>
          <w:sz w:val="32"/>
          <w:szCs w:val="32"/>
        </w:rPr>
        <w:t>市民政局</w:t>
      </w:r>
      <w:r>
        <w:rPr>
          <w:sz w:val="32"/>
          <w:szCs w:val="32"/>
        </w:rPr>
        <w:t>部门整体支出评价项目进行客观评价，最终评分结果：总得分为</w:t>
      </w:r>
      <w:r>
        <w:rPr>
          <w:rFonts w:hint="eastAsia"/>
          <w:sz w:val="32"/>
          <w:szCs w:val="32"/>
          <w:lang w:val="en-US" w:eastAsia="zh-CN"/>
        </w:rPr>
        <w:t>99.96</w:t>
      </w:r>
      <w:r>
        <w:rPr>
          <w:sz w:val="32"/>
          <w:szCs w:val="32"/>
        </w:rPr>
        <w:t>分。其中，基本运行类指标权重为30分，得分为</w:t>
      </w:r>
      <w:r>
        <w:rPr>
          <w:rFonts w:hint="eastAsia"/>
          <w:sz w:val="32"/>
          <w:szCs w:val="32"/>
          <w:lang w:val="en-US" w:eastAsia="zh-CN"/>
        </w:rPr>
        <w:t>29.96</w:t>
      </w:r>
      <w:r>
        <w:rPr>
          <w:sz w:val="32"/>
          <w:szCs w:val="32"/>
        </w:rPr>
        <w:t>分，得分率为</w:t>
      </w:r>
      <w:r>
        <w:rPr>
          <w:rFonts w:hint="eastAsia"/>
          <w:sz w:val="32"/>
          <w:szCs w:val="32"/>
          <w:lang w:val="en-US" w:eastAsia="zh-CN"/>
        </w:rPr>
        <w:t>99.8</w:t>
      </w:r>
      <w:r>
        <w:rPr>
          <w:sz w:val="32"/>
          <w:szCs w:val="32"/>
        </w:rPr>
        <w:t>%；重点履职类指标权重45分，得分为45分，得分率为100%。部门综合类指标权重为2</w:t>
      </w:r>
      <w:r>
        <w:rPr>
          <w:rFonts w:hint="eastAsia"/>
          <w:sz w:val="32"/>
          <w:szCs w:val="32"/>
        </w:rPr>
        <w:t>5</w:t>
      </w:r>
      <w:r>
        <w:rPr>
          <w:sz w:val="32"/>
          <w:szCs w:val="32"/>
        </w:rPr>
        <w:t>分，得分为25分，得分率为100%。</w:t>
      </w:r>
      <w:bookmarkEnd w:id="11"/>
      <w:bookmarkEnd w:id="12"/>
    </w:p>
    <w:p>
      <w:pPr>
        <w:pStyle w:val="13"/>
        <w:pageBreakBefore w:val="0"/>
        <w:kinsoku/>
        <w:wordWrap/>
        <w:overflowPunct/>
        <w:topLinePunct w:val="0"/>
        <w:autoSpaceDE/>
        <w:autoSpaceDN/>
        <w:bidi w:val="0"/>
        <w:spacing w:before="0" w:after="0" w:line="600" w:lineRule="exact"/>
        <w:ind w:firstLine="0" w:firstLineChars="0"/>
        <w:textAlignment w:val="auto"/>
        <w:rPr>
          <w:sz w:val="32"/>
          <w:szCs w:val="32"/>
          <w:lang w:val="en-US"/>
        </w:rPr>
      </w:pPr>
      <w:r>
        <w:rPr>
          <w:rFonts w:hint="eastAsia"/>
          <w:sz w:val="32"/>
          <w:szCs w:val="32"/>
          <w:lang w:val="en-US" w:eastAsia="zh-CN"/>
        </w:rPr>
        <w:t>三门峡</w:t>
      </w:r>
      <w:r>
        <w:rPr>
          <w:rFonts w:hint="eastAsia"/>
          <w:sz w:val="32"/>
          <w:szCs w:val="32"/>
          <w:lang w:val="en-US"/>
        </w:rPr>
        <w:t>市</w:t>
      </w:r>
      <w:r>
        <w:rPr>
          <w:sz w:val="32"/>
          <w:szCs w:val="32"/>
          <w:lang w:val="en-US"/>
        </w:rPr>
        <w:t>民政局年度部门整体支出绩效评价综合得分情况表</w:t>
      </w:r>
    </w:p>
    <w:tbl>
      <w:tblPr>
        <w:tblStyle w:val="7"/>
        <w:tblW w:w="7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635"/>
        <w:gridCol w:w="1531"/>
        <w:gridCol w:w="1794"/>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2" w:hRule="atLeast"/>
          <w:jc w:val="center"/>
        </w:trPr>
        <w:tc>
          <w:tcPr>
            <w:tcW w:w="1267" w:type="dxa"/>
            <w:shd w:val="clear" w:color="000000" w:fill="D9D9D9"/>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仿宋_GB2312"/>
                <w:b/>
                <w:bCs/>
                <w:color w:val="000000"/>
                <w:kern w:val="0"/>
                <w:sz w:val="32"/>
                <w:szCs w:val="32"/>
              </w:rPr>
            </w:pPr>
            <w:r>
              <w:rPr>
                <w:rFonts w:ascii="Times New Roman" w:hAnsi="Times New Roman" w:eastAsia="仿宋_GB2312"/>
                <w:b/>
                <w:bCs/>
                <w:color w:val="000000"/>
                <w:kern w:val="0"/>
                <w:sz w:val="32"/>
                <w:szCs w:val="32"/>
              </w:rPr>
              <w:t>指标</w:t>
            </w:r>
          </w:p>
        </w:tc>
        <w:tc>
          <w:tcPr>
            <w:tcW w:w="1635" w:type="dxa"/>
            <w:shd w:val="clear" w:color="000000" w:fill="D9D9D9"/>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仿宋_GB2312"/>
                <w:b/>
                <w:bCs/>
                <w:color w:val="000000"/>
                <w:kern w:val="0"/>
                <w:sz w:val="32"/>
                <w:szCs w:val="32"/>
              </w:rPr>
            </w:pPr>
            <w:r>
              <w:rPr>
                <w:rFonts w:ascii="Times New Roman" w:hAnsi="Times New Roman" w:eastAsia="仿宋_GB2312"/>
                <w:b/>
                <w:bCs/>
                <w:color w:val="000000"/>
                <w:kern w:val="0"/>
                <w:sz w:val="32"/>
                <w:szCs w:val="32"/>
              </w:rPr>
              <w:t>基本运行</w:t>
            </w:r>
          </w:p>
        </w:tc>
        <w:tc>
          <w:tcPr>
            <w:tcW w:w="1531" w:type="dxa"/>
            <w:shd w:val="clear" w:color="000000" w:fill="D9D9D9"/>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仿宋_GB2312"/>
                <w:b/>
                <w:bCs/>
                <w:color w:val="000000"/>
                <w:kern w:val="0"/>
                <w:sz w:val="32"/>
                <w:szCs w:val="32"/>
              </w:rPr>
            </w:pPr>
            <w:r>
              <w:rPr>
                <w:rFonts w:ascii="Times New Roman" w:hAnsi="Times New Roman" w:eastAsia="仿宋_GB2312"/>
                <w:b/>
                <w:bCs/>
                <w:color w:val="000000"/>
                <w:kern w:val="0"/>
                <w:sz w:val="32"/>
                <w:szCs w:val="32"/>
              </w:rPr>
              <w:t>重点履职</w:t>
            </w:r>
          </w:p>
        </w:tc>
        <w:tc>
          <w:tcPr>
            <w:tcW w:w="1794" w:type="dxa"/>
            <w:shd w:val="clear" w:color="000000" w:fill="D9D9D9"/>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仿宋_GB2312"/>
                <w:b/>
                <w:bCs/>
                <w:color w:val="000000"/>
                <w:kern w:val="0"/>
                <w:sz w:val="32"/>
                <w:szCs w:val="32"/>
              </w:rPr>
            </w:pPr>
            <w:r>
              <w:rPr>
                <w:rFonts w:ascii="Times New Roman" w:hAnsi="Times New Roman" w:eastAsia="仿宋_GB2312"/>
                <w:b/>
                <w:bCs/>
                <w:color w:val="000000"/>
                <w:kern w:val="0"/>
                <w:sz w:val="32"/>
                <w:szCs w:val="32"/>
              </w:rPr>
              <w:t>部门综合</w:t>
            </w:r>
          </w:p>
        </w:tc>
        <w:tc>
          <w:tcPr>
            <w:tcW w:w="1560" w:type="dxa"/>
            <w:shd w:val="clear" w:color="000000" w:fill="D9D9D9"/>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仿宋_GB2312"/>
                <w:b/>
                <w:bCs/>
                <w:color w:val="000000"/>
                <w:kern w:val="0"/>
                <w:sz w:val="32"/>
                <w:szCs w:val="32"/>
              </w:rPr>
            </w:pPr>
            <w:r>
              <w:rPr>
                <w:rFonts w:ascii="Times New Roman" w:hAnsi="Times New Roman" w:eastAsia="仿宋_GB2312"/>
                <w:b/>
                <w:bCs/>
                <w:color w:val="000000"/>
                <w:kern w:val="0"/>
                <w:sz w:val="32"/>
                <w:szCs w:val="32"/>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267"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权重</w:t>
            </w:r>
          </w:p>
        </w:tc>
        <w:tc>
          <w:tcPr>
            <w:tcW w:w="1635"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30</w:t>
            </w:r>
          </w:p>
        </w:tc>
        <w:tc>
          <w:tcPr>
            <w:tcW w:w="1531"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45</w:t>
            </w:r>
          </w:p>
        </w:tc>
        <w:tc>
          <w:tcPr>
            <w:tcW w:w="1794"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25</w:t>
            </w:r>
          </w:p>
        </w:tc>
        <w:tc>
          <w:tcPr>
            <w:tcW w:w="1560"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7" w:hRule="atLeast"/>
          <w:jc w:val="center"/>
        </w:trPr>
        <w:tc>
          <w:tcPr>
            <w:tcW w:w="1267"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得分</w:t>
            </w:r>
          </w:p>
        </w:tc>
        <w:tc>
          <w:tcPr>
            <w:tcW w:w="1635"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hint="default" w:ascii="Times New Roman" w:hAnsi="Times New Roman" w:eastAsia="等线"/>
                <w:color w:val="000000"/>
                <w:kern w:val="0"/>
                <w:sz w:val="32"/>
                <w:szCs w:val="32"/>
                <w:lang w:val="en-US" w:eastAsia="zh-CN"/>
              </w:rPr>
            </w:pPr>
            <w:r>
              <w:rPr>
                <w:rFonts w:hint="eastAsia" w:ascii="Times New Roman" w:hAnsi="Times New Roman" w:eastAsia="等线"/>
                <w:color w:val="000000"/>
                <w:kern w:val="0"/>
                <w:sz w:val="32"/>
                <w:szCs w:val="32"/>
                <w:lang w:val="en-US" w:eastAsia="zh-CN"/>
              </w:rPr>
              <w:t>29.96</w:t>
            </w:r>
          </w:p>
        </w:tc>
        <w:tc>
          <w:tcPr>
            <w:tcW w:w="1531"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45</w:t>
            </w:r>
          </w:p>
        </w:tc>
        <w:tc>
          <w:tcPr>
            <w:tcW w:w="1794"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25</w:t>
            </w:r>
          </w:p>
        </w:tc>
        <w:tc>
          <w:tcPr>
            <w:tcW w:w="1560"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hint="default" w:ascii="Times New Roman" w:hAnsi="Times New Roman" w:eastAsia="等线"/>
                <w:color w:val="000000"/>
                <w:kern w:val="0"/>
                <w:sz w:val="32"/>
                <w:szCs w:val="32"/>
                <w:lang w:val="en-US" w:eastAsia="zh-CN"/>
              </w:rPr>
            </w:pPr>
            <w:r>
              <w:rPr>
                <w:rFonts w:hint="eastAsia" w:ascii="Times New Roman" w:hAnsi="Times New Roman" w:eastAsia="等线"/>
                <w:color w:val="000000"/>
                <w:kern w:val="0"/>
                <w:sz w:val="32"/>
                <w:szCs w:val="32"/>
                <w:lang w:val="en-US" w:eastAsia="zh-CN"/>
              </w:rPr>
              <w:t>99.96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 w:hRule="atLeast"/>
          <w:jc w:val="center"/>
        </w:trPr>
        <w:tc>
          <w:tcPr>
            <w:tcW w:w="1267"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仿宋_GB2312"/>
                <w:color w:val="000000"/>
                <w:kern w:val="0"/>
                <w:sz w:val="32"/>
                <w:szCs w:val="32"/>
              </w:rPr>
            </w:pPr>
            <w:r>
              <w:rPr>
                <w:rFonts w:ascii="Times New Roman" w:hAnsi="Times New Roman" w:eastAsia="仿宋_GB2312"/>
                <w:color w:val="000000"/>
                <w:kern w:val="0"/>
                <w:sz w:val="32"/>
                <w:szCs w:val="32"/>
              </w:rPr>
              <w:t>得分率</w:t>
            </w:r>
          </w:p>
        </w:tc>
        <w:tc>
          <w:tcPr>
            <w:tcW w:w="1635"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hint="eastAsia" w:ascii="Times New Roman" w:hAnsi="Times New Roman" w:eastAsia="等线"/>
                <w:color w:val="000000"/>
                <w:kern w:val="0"/>
                <w:sz w:val="32"/>
                <w:szCs w:val="32"/>
                <w:lang w:val="en-US" w:eastAsia="zh-CN"/>
              </w:rPr>
              <w:t>99.8</w:t>
            </w:r>
            <w:r>
              <w:rPr>
                <w:rFonts w:ascii="Times New Roman" w:hAnsi="Times New Roman" w:eastAsia="等线"/>
                <w:color w:val="000000"/>
                <w:kern w:val="0"/>
                <w:sz w:val="32"/>
                <w:szCs w:val="32"/>
              </w:rPr>
              <w:t>%</w:t>
            </w:r>
          </w:p>
        </w:tc>
        <w:tc>
          <w:tcPr>
            <w:tcW w:w="1531"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100%</w:t>
            </w:r>
          </w:p>
        </w:tc>
        <w:tc>
          <w:tcPr>
            <w:tcW w:w="1794"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100%</w:t>
            </w:r>
          </w:p>
        </w:tc>
        <w:tc>
          <w:tcPr>
            <w:tcW w:w="1560" w:type="dxa"/>
            <w:shd w:val="clear" w:color="auto" w:fill="auto"/>
            <w:vAlign w:val="center"/>
          </w:tcPr>
          <w:p>
            <w:pPr>
              <w:pageBreakBefore w:val="0"/>
              <w:kinsoku/>
              <w:wordWrap/>
              <w:overflowPunct/>
              <w:topLinePunct w:val="0"/>
              <w:autoSpaceDE/>
              <w:autoSpaceDN/>
              <w:bidi w:val="0"/>
              <w:spacing w:after="0" w:line="600" w:lineRule="exact"/>
              <w:ind w:firstLine="0" w:firstLineChars="0"/>
              <w:jc w:val="center"/>
              <w:textAlignment w:val="auto"/>
              <w:rPr>
                <w:rFonts w:ascii="Times New Roman" w:hAnsi="Times New Roman" w:eastAsia="等线"/>
                <w:color w:val="000000"/>
                <w:kern w:val="0"/>
                <w:sz w:val="32"/>
                <w:szCs w:val="32"/>
              </w:rPr>
            </w:pPr>
            <w:r>
              <w:rPr>
                <w:rFonts w:ascii="Times New Roman" w:hAnsi="Times New Roman" w:eastAsia="等线"/>
                <w:color w:val="000000"/>
                <w:kern w:val="0"/>
                <w:sz w:val="32"/>
                <w:szCs w:val="32"/>
              </w:rPr>
              <w:t>9</w:t>
            </w:r>
            <w:r>
              <w:rPr>
                <w:rFonts w:hint="eastAsia" w:ascii="Times New Roman" w:hAnsi="Times New Roman" w:eastAsia="等线"/>
                <w:color w:val="000000"/>
                <w:kern w:val="0"/>
                <w:sz w:val="32"/>
                <w:szCs w:val="32"/>
                <w:lang w:val="en-US" w:eastAsia="zh-CN"/>
              </w:rPr>
              <w:t>9.96</w:t>
            </w:r>
            <w:r>
              <w:rPr>
                <w:rFonts w:ascii="Times New Roman" w:hAnsi="Times New Roman" w:eastAsia="等线"/>
                <w:color w:val="000000"/>
                <w:kern w:val="0"/>
                <w:sz w:val="32"/>
                <w:szCs w:val="32"/>
              </w:rPr>
              <w:t>%</w:t>
            </w:r>
          </w:p>
        </w:tc>
      </w:tr>
    </w:tbl>
    <w:p>
      <w:pPr>
        <w:pStyle w:val="11"/>
        <w:pageBreakBefore w:val="0"/>
        <w:kinsoku/>
        <w:wordWrap/>
        <w:overflowPunct/>
        <w:topLinePunct w:val="0"/>
        <w:autoSpaceDE/>
        <w:autoSpaceDN/>
        <w:bidi w:val="0"/>
        <w:spacing w:before="0" w:after="0" w:line="600" w:lineRule="exact"/>
        <w:ind w:firstLine="562"/>
        <w:textAlignment w:val="auto"/>
        <w:rPr>
          <w:sz w:val="32"/>
          <w:szCs w:val="32"/>
          <w:lang w:val="en-US"/>
        </w:rPr>
      </w:pPr>
      <w:r>
        <w:rPr>
          <w:rFonts w:hint="eastAsia"/>
          <w:sz w:val="32"/>
          <w:szCs w:val="32"/>
          <w:lang w:val="en-US"/>
        </w:rPr>
        <w:t>（二）</w:t>
      </w:r>
      <w:r>
        <w:rPr>
          <w:sz w:val="32"/>
          <w:szCs w:val="32"/>
          <w:lang w:val="en-US"/>
        </w:rPr>
        <w:t>评分情况</w:t>
      </w:r>
    </w:p>
    <w:p>
      <w:pPr>
        <w:pStyle w:val="11"/>
        <w:pageBreakBefore w:val="0"/>
        <w:kinsoku/>
        <w:wordWrap/>
        <w:overflowPunct/>
        <w:topLinePunct w:val="0"/>
        <w:autoSpaceDE/>
        <w:autoSpaceDN/>
        <w:bidi w:val="0"/>
        <w:spacing w:before="0" w:after="0" w:line="600" w:lineRule="exact"/>
        <w:ind w:firstLine="562"/>
        <w:textAlignment w:val="auto"/>
        <w:outlineLvl w:val="2"/>
        <w:rPr>
          <w:sz w:val="32"/>
          <w:szCs w:val="32"/>
        </w:rPr>
      </w:pPr>
      <w:r>
        <w:rPr>
          <w:sz w:val="32"/>
          <w:szCs w:val="32"/>
          <w:lang w:val="en-US"/>
        </w:rPr>
        <w:t>1、基本运行绩效</w:t>
      </w:r>
    </w:p>
    <w:p>
      <w:pPr>
        <w:pageBreakBefore w:val="0"/>
        <w:kinsoku/>
        <w:wordWrap/>
        <w:overflowPunct/>
        <w:topLinePunct w:val="0"/>
        <w:autoSpaceDE/>
        <w:autoSpaceDN/>
        <w:bidi w:val="0"/>
        <w:adjustRightInd w:val="0"/>
        <w:snapToGrid w:val="0"/>
        <w:spacing w:after="0" w:line="600" w:lineRule="exact"/>
        <w:ind w:firstLine="560"/>
        <w:textAlignment w:val="auto"/>
        <w:rPr>
          <w:rFonts w:ascii="Times New Roman" w:hAnsi="Times New Roman" w:eastAsia="仿宋_GB2312"/>
          <w:sz w:val="32"/>
          <w:szCs w:val="32"/>
        </w:rPr>
      </w:pPr>
      <w:bookmarkStart w:id="13" w:name="_Hlk42604516"/>
      <w:r>
        <w:rPr>
          <w:rFonts w:ascii="Times New Roman" w:hAnsi="Times New Roman" w:eastAsia="仿宋_GB2312"/>
          <w:sz w:val="32"/>
          <w:szCs w:val="32"/>
        </w:rPr>
        <w:t>基本运行绩效从</w:t>
      </w:r>
      <w:r>
        <w:rPr>
          <w:rFonts w:hint="eastAsia" w:ascii="Times New Roman" w:hAnsi="Times New Roman" w:eastAsia="仿宋_GB2312"/>
          <w:sz w:val="32"/>
          <w:szCs w:val="32"/>
        </w:rPr>
        <w:t>工作目标</w:t>
      </w:r>
      <w:r>
        <w:rPr>
          <w:rFonts w:ascii="Times New Roman" w:hAnsi="Times New Roman" w:eastAsia="仿宋_GB2312"/>
          <w:sz w:val="32"/>
          <w:szCs w:val="32"/>
        </w:rPr>
        <w:t>管理、预算</w:t>
      </w:r>
      <w:r>
        <w:rPr>
          <w:rFonts w:hint="eastAsia" w:ascii="Times New Roman" w:hAnsi="Times New Roman" w:eastAsia="仿宋_GB2312"/>
          <w:sz w:val="32"/>
          <w:szCs w:val="32"/>
        </w:rPr>
        <w:t>和</w:t>
      </w:r>
      <w:r>
        <w:rPr>
          <w:rFonts w:ascii="Times New Roman" w:hAnsi="Times New Roman" w:eastAsia="仿宋_GB2312"/>
          <w:sz w:val="32"/>
          <w:szCs w:val="32"/>
        </w:rPr>
        <w:t>财务</w:t>
      </w:r>
      <w:r>
        <w:rPr>
          <w:rFonts w:hint="eastAsia" w:ascii="Times New Roman" w:hAnsi="Times New Roman" w:eastAsia="仿宋_GB2312"/>
          <w:sz w:val="32"/>
          <w:szCs w:val="32"/>
        </w:rPr>
        <w:t>管理</w:t>
      </w:r>
      <w:r>
        <w:rPr>
          <w:rFonts w:ascii="Times New Roman" w:hAnsi="Times New Roman" w:eastAsia="仿宋_GB2312"/>
          <w:sz w:val="32"/>
          <w:szCs w:val="32"/>
        </w:rPr>
        <w:t>、</w:t>
      </w:r>
      <w:r>
        <w:rPr>
          <w:rFonts w:hint="eastAsia" w:ascii="Times New Roman" w:hAnsi="Times New Roman" w:eastAsia="仿宋_GB2312"/>
          <w:sz w:val="32"/>
          <w:szCs w:val="32"/>
        </w:rPr>
        <w:t>绩效</w:t>
      </w:r>
      <w:r>
        <w:rPr>
          <w:rFonts w:ascii="Times New Roman" w:hAnsi="Times New Roman" w:eastAsia="仿宋_GB2312"/>
          <w:sz w:val="32"/>
          <w:szCs w:val="32"/>
        </w:rPr>
        <w:t>管理及资</w:t>
      </w:r>
      <w:r>
        <w:rPr>
          <w:rFonts w:hint="eastAsia" w:ascii="Times New Roman" w:hAnsi="Times New Roman" w:eastAsia="仿宋_GB2312"/>
          <w:sz w:val="32"/>
          <w:szCs w:val="32"/>
        </w:rPr>
        <w:t>工作目标</w:t>
      </w:r>
      <w:r>
        <w:rPr>
          <w:rFonts w:ascii="Times New Roman" w:hAnsi="Times New Roman" w:eastAsia="仿宋_GB2312"/>
          <w:sz w:val="32"/>
          <w:szCs w:val="32"/>
        </w:rPr>
        <w:t>管理及满意度五个方面的完成情况进行考察。</w:t>
      </w:r>
      <w:bookmarkEnd w:id="13"/>
    </w:p>
    <w:p>
      <w:pPr>
        <w:pageBreakBefore w:val="0"/>
        <w:kinsoku/>
        <w:wordWrap/>
        <w:overflowPunct/>
        <w:topLinePunct w:val="0"/>
        <w:autoSpaceDE/>
        <w:autoSpaceDN/>
        <w:bidi w:val="0"/>
        <w:adjustRightInd w:val="0"/>
        <w:snapToGrid w:val="0"/>
        <w:spacing w:after="0" w:line="600" w:lineRule="exact"/>
        <w:ind w:firstLine="562"/>
        <w:textAlignment w:val="auto"/>
        <w:rPr>
          <w:rFonts w:hint="eastAsia" w:ascii="Times New Roman" w:hAnsi="Times New Roman" w:eastAsia="仿宋_GB2312"/>
          <w:b/>
          <w:bCs/>
          <w:sz w:val="32"/>
          <w:szCs w:val="32"/>
        </w:rPr>
      </w:pPr>
      <w:r>
        <w:rPr>
          <w:rFonts w:ascii="Times New Roman" w:hAnsi="Times New Roman" w:eastAsia="仿宋_GB2312"/>
          <w:b/>
          <w:bCs/>
          <w:sz w:val="32"/>
          <w:szCs w:val="32"/>
        </w:rPr>
        <w:t>（1）</w:t>
      </w:r>
      <w:r>
        <w:rPr>
          <w:rFonts w:hint="eastAsia" w:ascii="Times New Roman" w:hAnsi="Times New Roman" w:eastAsia="仿宋_GB2312"/>
          <w:b/>
          <w:bCs/>
          <w:sz w:val="32"/>
          <w:szCs w:val="32"/>
        </w:rPr>
        <w:t>工作目标</w:t>
      </w:r>
      <w:r>
        <w:rPr>
          <w:rFonts w:ascii="Times New Roman" w:hAnsi="Times New Roman" w:eastAsia="仿宋_GB2312"/>
          <w:b/>
          <w:bCs/>
          <w:sz w:val="32"/>
          <w:szCs w:val="32"/>
        </w:rPr>
        <w:t>管理</w:t>
      </w:r>
    </w:p>
    <w:p>
      <w:pPr>
        <w:pStyle w:val="12"/>
        <w:pageBreakBefore w:val="0"/>
        <w:kinsoku/>
        <w:wordWrap/>
        <w:overflowPunct/>
        <w:topLinePunct w:val="0"/>
        <w:autoSpaceDE/>
        <w:autoSpaceDN/>
        <w:bidi w:val="0"/>
        <w:spacing w:line="600" w:lineRule="exact"/>
        <w:ind w:firstLine="560"/>
        <w:textAlignment w:val="auto"/>
        <w:rPr>
          <w:sz w:val="32"/>
          <w:szCs w:val="32"/>
        </w:rPr>
      </w:pPr>
      <w:bookmarkStart w:id="14" w:name="OLE_LINK24"/>
      <w:bookmarkStart w:id="15" w:name="OLE_LINK23"/>
      <w:r>
        <w:rPr>
          <w:rFonts w:hint="eastAsia"/>
          <w:color w:val="000000" w:themeColor="text1"/>
          <w:sz w:val="32"/>
          <w:szCs w:val="32"/>
          <w14:textFill>
            <w14:solidFill>
              <w14:schemeClr w14:val="tx1"/>
            </w14:solidFill>
          </w14:textFill>
        </w:rPr>
        <w:t>工作任务</w:t>
      </w:r>
      <w:r>
        <w:rPr>
          <w:color w:val="000000" w:themeColor="text1"/>
          <w:sz w:val="32"/>
          <w:szCs w:val="32"/>
          <w14:textFill>
            <w14:solidFill>
              <w14:schemeClr w14:val="tx1"/>
            </w14:solidFill>
          </w14:textFill>
        </w:rPr>
        <w:t>科学性、年度履职目标相关性、绩效指标合理性三个方敏，根据评分细则，</w:t>
      </w:r>
      <w:bookmarkEnd w:id="14"/>
      <w:bookmarkEnd w:id="15"/>
      <w:r>
        <w:rPr>
          <w:sz w:val="32"/>
          <w:szCs w:val="32"/>
        </w:rPr>
        <w:t>该指标</w:t>
      </w:r>
      <w:r>
        <w:rPr>
          <w:rFonts w:hint="eastAsia"/>
          <w:sz w:val="32"/>
          <w:szCs w:val="32"/>
        </w:rPr>
        <w:t>得</w:t>
      </w:r>
      <w:r>
        <w:rPr>
          <w:sz w:val="32"/>
          <w:szCs w:val="32"/>
        </w:rPr>
        <w:t>15分。</w:t>
      </w:r>
    </w:p>
    <w:p>
      <w:pPr>
        <w:pageBreakBefore w:val="0"/>
        <w:kinsoku/>
        <w:wordWrap/>
        <w:overflowPunct/>
        <w:topLinePunct w:val="0"/>
        <w:autoSpaceDE/>
        <w:autoSpaceDN/>
        <w:bidi w:val="0"/>
        <w:adjustRightInd w:val="0"/>
        <w:snapToGrid w:val="0"/>
        <w:spacing w:after="0" w:line="600" w:lineRule="exact"/>
        <w:ind w:firstLine="562"/>
        <w:textAlignment w:val="auto"/>
        <w:rPr>
          <w:rFonts w:ascii="Times New Roman" w:hAnsi="Times New Roman" w:eastAsia="仿宋_GB2312"/>
          <w:b/>
          <w:bCs/>
          <w:sz w:val="32"/>
          <w:szCs w:val="32"/>
        </w:rPr>
      </w:pPr>
      <w:r>
        <w:rPr>
          <w:rFonts w:ascii="Times New Roman" w:hAnsi="Times New Roman" w:eastAsia="仿宋_GB2312"/>
          <w:b/>
          <w:bCs/>
          <w:sz w:val="32"/>
          <w:szCs w:val="32"/>
        </w:rPr>
        <w:t>（2）预算</w:t>
      </w:r>
      <w:r>
        <w:rPr>
          <w:rFonts w:hint="eastAsia" w:ascii="Times New Roman" w:hAnsi="Times New Roman" w:eastAsia="仿宋_GB2312"/>
          <w:b/>
          <w:bCs/>
          <w:sz w:val="32"/>
          <w:szCs w:val="32"/>
        </w:rPr>
        <w:t>和财务管理</w:t>
      </w:r>
    </w:p>
    <w:p>
      <w:pPr>
        <w:pageBreakBefore w:val="0"/>
        <w:kinsoku/>
        <w:wordWrap/>
        <w:overflowPunct/>
        <w:topLinePunct w:val="0"/>
        <w:autoSpaceDE/>
        <w:autoSpaceDN/>
        <w:bidi w:val="0"/>
        <w:adjustRightInd w:val="0"/>
        <w:snapToGrid w:val="0"/>
        <w:spacing w:after="0" w:line="600" w:lineRule="exact"/>
        <w:ind w:firstLine="562"/>
        <w:textAlignment w:val="auto"/>
        <w:rPr>
          <w:rFonts w:ascii="Times New Roman" w:hAnsi="Times New Roman" w:eastAsia="仿宋_GB2312"/>
          <w:b/>
          <w:bCs/>
          <w:color w:val="FF0000"/>
          <w:sz w:val="32"/>
          <w:szCs w:val="32"/>
        </w:rPr>
      </w:pPr>
      <w:r>
        <w:rPr>
          <w:rFonts w:ascii="Times New Roman" w:hAnsi="Times New Roman" w:eastAsia="仿宋_GB2312"/>
          <w:b/>
          <w:bCs/>
          <w:color w:val="auto"/>
          <w:sz w:val="32"/>
          <w:szCs w:val="32"/>
        </w:rPr>
        <w:t>预算</w:t>
      </w:r>
      <w:r>
        <w:rPr>
          <w:rFonts w:hint="eastAsia" w:ascii="Times New Roman" w:hAnsi="Times New Roman" w:eastAsia="仿宋_GB2312"/>
          <w:b/>
          <w:bCs/>
          <w:color w:val="auto"/>
          <w:sz w:val="32"/>
          <w:szCs w:val="32"/>
        </w:rPr>
        <w:t>编制完整性</w:t>
      </w:r>
      <w:r>
        <w:rPr>
          <w:rFonts w:ascii="Times New Roman" w:hAnsi="Times New Roman" w:eastAsia="仿宋_GB2312"/>
          <w:b/>
          <w:bCs/>
          <w:color w:val="auto"/>
          <w:sz w:val="32"/>
          <w:szCs w:val="32"/>
        </w:rPr>
        <w:t>：</w:t>
      </w:r>
      <w:r>
        <w:rPr>
          <w:rFonts w:hint="eastAsia" w:ascii="Times New Roman" w:hAnsi="Times New Roman" w:eastAsia="仿宋_GB2312"/>
          <w:color w:val="auto"/>
          <w:sz w:val="32"/>
          <w:szCs w:val="32"/>
        </w:rPr>
        <w:t>20</w:t>
      </w:r>
      <w:r>
        <w:rPr>
          <w:rFonts w:hint="eastAsia" w:ascii="Times New Roman" w:hAnsi="Times New Roman" w:eastAsia="仿宋_GB2312"/>
          <w:color w:val="auto"/>
          <w:sz w:val="32"/>
          <w:szCs w:val="32"/>
          <w:lang w:val="en-US" w:eastAsia="zh-CN"/>
        </w:rPr>
        <w:t>21</w:t>
      </w:r>
      <w:r>
        <w:rPr>
          <w:rFonts w:hint="eastAsia" w:ascii="Times New Roman" w:hAnsi="Times New Roman" w:eastAsia="仿宋_GB2312"/>
          <w:color w:val="auto"/>
          <w:sz w:val="32"/>
          <w:szCs w:val="32"/>
        </w:rPr>
        <w:t>年当年预算收入为</w:t>
      </w:r>
      <w:r>
        <w:rPr>
          <w:rFonts w:hint="default" w:ascii="仿宋_GB2312" w:hAnsi="微软雅黑" w:eastAsia="仿宋_GB2312" w:cs="仿宋_GB2312"/>
          <w:i w:val="0"/>
          <w:iCs w:val="0"/>
          <w:caps w:val="0"/>
          <w:color w:val="auto"/>
          <w:spacing w:val="0"/>
          <w:sz w:val="32"/>
          <w:szCs w:val="32"/>
        </w:rPr>
        <w:t>4573.1324</w:t>
      </w:r>
      <w:r>
        <w:rPr>
          <w:rFonts w:hint="eastAsia" w:ascii="Times New Roman" w:hAnsi="Times New Roman" w:eastAsia="仿宋_GB2312"/>
          <w:color w:val="auto"/>
          <w:sz w:val="32"/>
          <w:szCs w:val="32"/>
        </w:rPr>
        <w:t>万元，实际预算支出</w:t>
      </w:r>
      <w:r>
        <w:rPr>
          <w:rFonts w:hint="default" w:ascii="仿宋_GB2312" w:hAnsi="微软雅黑" w:eastAsia="仿宋_GB2312" w:cs="仿宋_GB2312"/>
          <w:i w:val="0"/>
          <w:iCs w:val="0"/>
          <w:caps w:val="0"/>
          <w:color w:val="auto"/>
          <w:spacing w:val="0"/>
          <w:sz w:val="32"/>
          <w:szCs w:val="32"/>
        </w:rPr>
        <w:t>4423.084592</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执行率96.7%。</w:t>
      </w:r>
      <w:r>
        <w:rPr>
          <w:rFonts w:hint="eastAsia" w:ascii="Times New Roman" w:hAnsi="Times New Roman" w:eastAsia="仿宋_GB2312"/>
          <w:color w:val="auto"/>
          <w:sz w:val="32"/>
          <w:szCs w:val="32"/>
        </w:rPr>
        <w:t>根据评分细则该指标得</w:t>
      </w:r>
      <w:r>
        <w:rPr>
          <w:rFonts w:hint="eastAsia" w:ascii="Times New Roman" w:hAnsi="Times New Roman" w:eastAsia="仿宋_GB2312"/>
          <w:color w:val="auto"/>
          <w:sz w:val="32"/>
          <w:szCs w:val="32"/>
          <w:lang w:val="en-US" w:eastAsia="zh-CN"/>
        </w:rPr>
        <w:t>4.8</w:t>
      </w:r>
      <w:r>
        <w:rPr>
          <w:rFonts w:hint="eastAsia" w:ascii="Times New Roman" w:hAnsi="Times New Roman" w:eastAsia="仿宋_GB2312"/>
          <w:color w:val="auto"/>
          <w:sz w:val="32"/>
          <w:szCs w:val="32"/>
        </w:rPr>
        <w:t>分</w:t>
      </w:r>
      <w:r>
        <w:rPr>
          <w:rFonts w:ascii="Times New Roman" w:hAnsi="Times New Roman" w:eastAsia="仿宋_GB2312"/>
          <w:color w:val="auto"/>
          <w:sz w:val="32"/>
          <w:szCs w:val="32"/>
        </w:rPr>
        <w:t>。</w:t>
      </w:r>
    </w:p>
    <w:p>
      <w:pPr>
        <w:pStyle w:val="12"/>
        <w:pageBreakBefore w:val="0"/>
        <w:kinsoku/>
        <w:wordWrap/>
        <w:overflowPunct/>
        <w:topLinePunct w:val="0"/>
        <w:autoSpaceDE/>
        <w:autoSpaceDN/>
        <w:bidi w:val="0"/>
        <w:spacing w:line="600" w:lineRule="exact"/>
        <w:ind w:firstLine="562"/>
        <w:textAlignment w:val="auto"/>
        <w:rPr>
          <w:sz w:val="32"/>
          <w:szCs w:val="32"/>
        </w:rPr>
      </w:pPr>
      <w:r>
        <w:rPr>
          <w:b/>
          <w:bCs/>
          <w:sz w:val="32"/>
          <w:szCs w:val="32"/>
        </w:rPr>
        <w:t>预算调整率：</w:t>
      </w:r>
      <w:r>
        <w:rPr>
          <w:rFonts w:hint="eastAsia"/>
          <w:sz w:val="32"/>
          <w:szCs w:val="32"/>
        </w:rPr>
        <w:t>依据</w:t>
      </w:r>
      <w:r>
        <w:rPr>
          <w:rFonts w:hint="eastAsia"/>
          <w:sz w:val="32"/>
          <w:szCs w:val="32"/>
          <w:lang w:eastAsia="zh-CN"/>
        </w:rPr>
        <w:t>三门峡</w:t>
      </w:r>
      <w:r>
        <w:rPr>
          <w:rFonts w:hint="eastAsia"/>
          <w:sz w:val="32"/>
          <w:szCs w:val="32"/>
        </w:rPr>
        <w:t>市民政局20</w:t>
      </w:r>
      <w:r>
        <w:rPr>
          <w:rFonts w:hint="eastAsia"/>
          <w:sz w:val="32"/>
          <w:szCs w:val="32"/>
          <w:lang w:val="en-US" w:eastAsia="zh-CN"/>
        </w:rPr>
        <w:t>21</w:t>
      </w:r>
      <w:r>
        <w:rPr>
          <w:rFonts w:hint="eastAsia"/>
          <w:sz w:val="32"/>
          <w:szCs w:val="32"/>
        </w:rPr>
        <w:t>年部门决算报表，年初预算批复数为</w:t>
      </w:r>
      <w:r>
        <w:rPr>
          <w:rFonts w:hint="default" w:ascii="仿宋_GB2312" w:hAnsi="微软雅黑" w:eastAsia="仿宋_GB2312" w:cs="仿宋_GB2312"/>
          <w:i w:val="0"/>
          <w:iCs w:val="0"/>
          <w:caps w:val="0"/>
          <w:color w:val="auto"/>
          <w:spacing w:val="0"/>
          <w:sz w:val="32"/>
          <w:szCs w:val="32"/>
        </w:rPr>
        <w:t>4573.1324</w:t>
      </w:r>
      <w:r>
        <w:rPr>
          <w:rFonts w:hint="eastAsia"/>
          <w:sz w:val="32"/>
          <w:szCs w:val="32"/>
        </w:rPr>
        <w:t>万元，预算收入未调整，预算调整率0%。根据评分规则，该指标得满分，即</w:t>
      </w:r>
      <w:r>
        <w:rPr>
          <w:sz w:val="32"/>
          <w:szCs w:val="32"/>
        </w:rPr>
        <w:t>5</w:t>
      </w:r>
      <w:r>
        <w:rPr>
          <w:rFonts w:hint="eastAsia"/>
          <w:sz w:val="32"/>
          <w:szCs w:val="32"/>
        </w:rPr>
        <w:t>分</w:t>
      </w:r>
      <w:r>
        <w:rPr>
          <w:sz w:val="32"/>
          <w:szCs w:val="32"/>
        </w:rPr>
        <w:t>。</w:t>
      </w:r>
    </w:p>
    <w:p>
      <w:pPr>
        <w:pStyle w:val="12"/>
        <w:pageBreakBefore w:val="0"/>
        <w:kinsoku/>
        <w:wordWrap/>
        <w:overflowPunct/>
        <w:topLinePunct w:val="0"/>
        <w:autoSpaceDE/>
        <w:autoSpaceDN/>
        <w:bidi w:val="0"/>
        <w:spacing w:line="600" w:lineRule="exact"/>
        <w:ind w:firstLine="562"/>
        <w:textAlignment w:val="auto"/>
        <w:rPr>
          <w:color w:val="000000" w:themeColor="text1"/>
          <w:sz w:val="32"/>
          <w:szCs w:val="32"/>
          <w14:textFill>
            <w14:solidFill>
              <w14:schemeClr w14:val="tx1"/>
            </w14:solidFill>
          </w14:textFill>
        </w:rPr>
      </w:pPr>
      <w:r>
        <w:rPr>
          <w:b/>
          <w:bCs/>
          <w:sz w:val="32"/>
          <w:szCs w:val="32"/>
        </w:rPr>
        <w:t>预算执行率：</w:t>
      </w:r>
      <w:r>
        <w:rPr>
          <w:rFonts w:hint="eastAsia"/>
          <w:sz w:val="32"/>
          <w:szCs w:val="32"/>
        </w:rPr>
        <w:t>依据</w:t>
      </w:r>
      <w:r>
        <w:rPr>
          <w:rFonts w:hint="eastAsia"/>
          <w:sz w:val="32"/>
          <w:szCs w:val="32"/>
          <w:lang w:eastAsia="zh-CN"/>
        </w:rPr>
        <w:t>三门峡</w:t>
      </w:r>
      <w:r>
        <w:rPr>
          <w:rFonts w:hint="eastAsia"/>
          <w:sz w:val="32"/>
          <w:szCs w:val="32"/>
        </w:rPr>
        <w:t>市民政局20</w:t>
      </w:r>
      <w:r>
        <w:rPr>
          <w:rFonts w:hint="eastAsia"/>
          <w:sz w:val="32"/>
          <w:szCs w:val="32"/>
          <w:lang w:val="en-US" w:eastAsia="zh-CN"/>
        </w:rPr>
        <w:t>21</w:t>
      </w:r>
      <w:r>
        <w:rPr>
          <w:rFonts w:hint="eastAsia"/>
          <w:sz w:val="32"/>
          <w:szCs w:val="32"/>
        </w:rPr>
        <w:t>年部门决算报表，20</w:t>
      </w:r>
      <w:r>
        <w:rPr>
          <w:rFonts w:hint="eastAsia"/>
          <w:sz w:val="32"/>
          <w:szCs w:val="32"/>
          <w:lang w:val="en-US" w:eastAsia="zh-CN"/>
        </w:rPr>
        <w:t>21</w:t>
      </w:r>
      <w:r>
        <w:rPr>
          <w:rFonts w:hint="eastAsia"/>
          <w:sz w:val="32"/>
          <w:szCs w:val="32"/>
        </w:rPr>
        <w:t>年当年预算收入为</w:t>
      </w:r>
      <w:r>
        <w:rPr>
          <w:rFonts w:hint="default" w:ascii="仿宋_GB2312" w:hAnsi="微软雅黑" w:eastAsia="仿宋_GB2312" w:cs="仿宋_GB2312"/>
          <w:i w:val="0"/>
          <w:iCs w:val="0"/>
          <w:caps w:val="0"/>
          <w:color w:val="auto"/>
          <w:spacing w:val="0"/>
          <w:sz w:val="32"/>
          <w:szCs w:val="32"/>
        </w:rPr>
        <w:t>4573.1324</w:t>
      </w:r>
      <w:r>
        <w:rPr>
          <w:rFonts w:hint="eastAsia"/>
          <w:sz w:val="32"/>
          <w:szCs w:val="32"/>
        </w:rPr>
        <w:t>万元，实际预算支出</w:t>
      </w:r>
      <w:r>
        <w:rPr>
          <w:rFonts w:hint="default" w:ascii="仿宋_GB2312" w:hAnsi="微软雅黑" w:eastAsia="仿宋_GB2312" w:cs="仿宋_GB2312"/>
          <w:i w:val="0"/>
          <w:iCs w:val="0"/>
          <w:caps w:val="0"/>
          <w:color w:val="auto"/>
          <w:spacing w:val="0"/>
          <w:sz w:val="32"/>
          <w:szCs w:val="32"/>
        </w:rPr>
        <w:t>4573.1324</w:t>
      </w:r>
      <w:r>
        <w:rPr>
          <w:rFonts w:hint="eastAsia"/>
          <w:sz w:val="32"/>
          <w:szCs w:val="32"/>
        </w:rPr>
        <w:t>万元，预算完成率为</w:t>
      </w:r>
      <w:r>
        <w:rPr>
          <w:rFonts w:hint="eastAsia" w:ascii="Times New Roman" w:hAnsi="Times New Roman" w:eastAsia="仿宋_GB2312"/>
          <w:color w:val="auto"/>
          <w:sz w:val="32"/>
          <w:szCs w:val="32"/>
          <w:lang w:val="en-US" w:eastAsia="zh-CN"/>
        </w:rPr>
        <w:t>96.7%</w:t>
      </w:r>
      <w:r>
        <w:rPr>
          <w:rFonts w:hint="eastAsia"/>
          <w:sz w:val="32"/>
          <w:szCs w:val="32"/>
        </w:rPr>
        <w:t>。根据评分细则该指标得</w:t>
      </w:r>
      <w:r>
        <w:rPr>
          <w:rFonts w:hint="eastAsia"/>
          <w:sz w:val="32"/>
          <w:szCs w:val="32"/>
          <w:lang w:val="en-US" w:eastAsia="zh-CN"/>
        </w:rPr>
        <w:t>4.8</w:t>
      </w:r>
      <w:r>
        <w:rPr>
          <w:rFonts w:hint="eastAsia"/>
          <w:sz w:val="32"/>
          <w:szCs w:val="32"/>
        </w:rPr>
        <w:t>分</w:t>
      </w:r>
      <w:r>
        <w:rPr>
          <w:sz w:val="32"/>
          <w:szCs w:val="32"/>
        </w:rPr>
        <w:t>。</w:t>
      </w:r>
    </w:p>
    <w:p>
      <w:pPr>
        <w:pageBreakBefore w:val="0"/>
        <w:kinsoku/>
        <w:wordWrap/>
        <w:overflowPunct/>
        <w:topLinePunct w:val="0"/>
        <w:autoSpaceDE/>
        <w:autoSpaceDN/>
        <w:bidi w:val="0"/>
        <w:adjustRightInd w:val="0"/>
        <w:snapToGrid w:val="0"/>
        <w:spacing w:after="0" w:line="600" w:lineRule="exact"/>
        <w:ind w:firstLine="562"/>
        <w:textAlignment w:val="auto"/>
        <w:rPr>
          <w:rFonts w:ascii="Times New Roman" w:hAnsi="Times New Roman" w:eastAsia="仿宋_GB2312"/>
          <w:sz w:val="32"/>
          <w:szCs w:val="32"/>
        </w:rPr>
      </w:pPr>
      <w:r>
        <w:rPr>
          <w:rFonts w:ascii="Times New Roman" w:hAnsi="Times New Roman" w:eastAsia="仿宋_GB2312"/>
          <w:b/>
          <w:bCs/>
          <w:sz w:val="32"/>
          <w:szCs w:val="32"/>
        </w:rPr>
        <w:t>结转结余率：</w:t>
      </w:r>
      <w:r>
        <w:rPr>
          <w:rFonts w:hint="eastAsia" w:ascii="Times New Roman" w:hAnsi="Times New Roman" w:eastAsia="仿宋_GB2312"/>
          <w:sz w:val="32"/>
          <w:szCs w:val="32"/>
        </w:rPr>
        <w:t>根据</w:t>
      </w:r>
      <w:r>
        <w:rPr>
          <w:rFonts w:hint="eastAsia" w:ascii="Times New Roman" w:hAnsi="Times New Roman" w:eastAsia="仿宋_GB2312"/>
          <w:sz w:val="32"/>
          <w:szCs w:val="32"/>
          <w:lang w:eastAsia="zh-CN"/>
        </w:rPr>
        <w:t>三门峡</w:t>
      </w:r>
      <w:r>
        <w:rPr>
          <w:rFonts w:hint="eastAsia" w:ascii="Times New Roman" w:hAnsi="Times New Roman" w:eastAsia="仿宋_GB2312"/>
          <w:sz w:val="32"/>
          <w:szCs w:val="32"/>
        </w:rPr>
        <w:t>市民政局20</w:t>
      </w:r>
      <w:r>
        <w:rPr>
          <w:rFonts w:hint="eastAsia" w:ascii="Times New Roman" w:hAnsi="Times New Roman" w:eastAsia="仿宋_GB2312"/>
          <w:sz w:val="32"/>
          <w:szCs w:val="32"/>
          <w:lang w:val="en-US" w:eastAsia="zh-CN"/>
        </w:rPr>
        <w:t>21</w:t>
      </w:r>
      <w:r>
        <w:rPr>
          <w:rFonts w:hint="eastAsia" w:ascii="Times New Roman" w:hAnsi="Times New Roman" w:eastAsia="仿宋_GB2312"/>
          <w:sz w:val="32"/>
          <w:szCs w:val="32"/>
        </w:rPr>
        <w:t>年部门决算报表，20</w:t>
      </w:r>
      <w:r>
        <w:rPr>
          <w:rFonts w:hint="eastAsia" w:ascii="Times New Roman" w:hAnsi="Times New Roman" w:eastAsia="仿宋_GB2312"/>
          <w:sz w:val="32"/>
          <w:szCs w:val="32"/>
          <w:lang w:val="en-US" w:eastAsia="zh-CN"/>
        </w:rPr>
        <w:t>20</w:t>
      </w:r>
      <w:r>
        <w:rPr>
          <w:rFonts w:hint="eastAsia" w:ascii="Times New Roman" w:hAnsi="Times New Roman" w:eastAsia="仿宋_GB2312"/>
          <w:sz w:val="32"/>
          <w:szCs w:val="32"/>
        </w:rPr>
        <w:t>年度结转结余总额</w:t>
      </w:r>
      <w:r>
        <w:rPr>
          <w:rFonts w:hint="eastAsia" w:ascii="Times New Roman" w:hAnsi="Times New Roman" w:eastAsia="仿宋_GB2312"/>
          <w:sz w:val="32"/>
          <w:szCs w:val="32"/>
          <w:lang w:val="en-US" w:eastAsia="zh-CN"/>
        </w:rPr>
        <w:t>全部结转</w:t>
      </w:r>
      <w:r>
        <w:rPr>
          <w:rFonts w:hint="eastAsia" w:ascii="Times New Roman" w:hAnsi="Times New Roman" w:eastAsia="仿宋_GB2312"/>
          <w:sz w:val="32"/>
          <w:szCs w:val="32"/>
        </w:rPr>
        <w:t>。</w:t>
      </w:r>
    </w:p>
    <w:p>
      <w:pPr>
        <w:pStyle w:val="12"/>
        <w:pageBreakBefore w:val="0"/>
        <w:kinsoku/>
        <w:wordWrap/>
        <w:overflowPunct/>
        <w:topLinePunct w:val="0"/>
        <w:autoSpaceDE/>
        <w:autoSpaceDN/>
        <w:bidi w:val="0"/>
        <w:spacing w:line="600" w:lineRule="exact"/>
        <w:ind w:firstLine="562"/>
        <w:textAlignment w:val="auto"/>
        <w:rPr>
          <w:sz w:val="32"/>
          <w:szCs w:val="32"/>
        </w:rPr>
      </w:pPr>
      <w:r>
        <w:rPr>
          <w:b/>
          <w:bCs/>
          <w:sz w:val="32"/>
          <w:szCs w:val="32"/>
        </w:rPr>
        <w:t>政府采购执行率：</w:t>
      </w:r>
      <w:r>
        <w:rPr>
          <w:rFonts w:hint="eastAsia"/>
          <w:sz w:val="32"/>
          <w:szCs w:val="32"/>
        </w:rPr>
        <w:t>根据</w:t>
      </w:r>
      <w:r>
        <w:rPr>
          <w:rFonts w:hint="eastAsia"/>
          <w:sz w:val="32"/>
          <w:szCs w:val="32"/>
          <w:lang w:eastAsia="zh-CN"/>
        </w:rPr>
        <w:t>三门峡</w:t>
      </w:r>
      <w:r>
        <w:rPr>
          <w:rFonts w:hint="eastAsia"/>
          <w:sz w:val="32"/>
          <w:szCs w:val="32"/>
        </w:rPr>
        <w:t>市民政局20</w:t>
      </w:r>
      <w:r>
        <w:rPr>
          <w:rFonts w:hint="eastAsia"/>
          <w:sz w:val="32"/>
          <w:szCs w:val="32"/>
          <w:lang w:val="en-US" w:eastAsia="zh-CN"/>
        </w:rPr>
        <w:t>21</w:t>
      </w:r>
      <w:r>
        <w:rPr>
          <w:rFonts w:hint="eastAsia"/>
          <w:sz w:val="32"/>
          <w:szCs w:val="32"/>
        </w:rPr>
        <w:t>年部门决算报表，按照政府采购流程</w:t>
      </w:r>
      <w:r>
        <w:rPr>
          <w:sz w:val="32"/>
          <w:szCs w:val="32"/>
        </w:rPr>
        <w:t>进行采购</w:t>
      </w:r>
      <w:r>
        <w:rPr>
          <w:rFonts w:hint="eastAsia"/>
          <w:sz w:val="32"/>
          <w:szCs w:val="32"/>
        </w:rPr>
        <w:t>。根据评分细则该指标得</w:t>
      </w:r>
      <w:r>
        <w:rPr>
          <w:sz w:val="32"/>
          <w:szCs w:val="32"/>
        </w:rPr>
        <w:t>5</w:t>
      </w:r>
      <w:r>
        <w:rPr>
          <w:rFonts w:hint="eastAsia"/>
          <w:sz w:val="32"/>
          <w:szCs w:val="32"/>
        </w:rPr>
        <w:t>分</w:t>
      </w:r>
      <w:r>
        <w:rPr>
          <w:sz w:val="32"/>
          <w:szCs w:val="32"/>
        </w:rPr>
        <w:t>。</w:t>
      </w:r>
    </w:p>
    <w:p>
      <w:pPr>
        <w:pStyle w:val="12"/>
        <w:pageBreakBefore w:val="0"/>
        <w:kinsoku/>
        <w:wordWrap/>
        <w:overflowPunct/>
        <w:topLinePunct w:val="0"/>
        <w:autoSpaceDE/>
        <w:autoSpaceDN/>
        <w:bidi w:val="0"/>
        <w:spacing w:line="600" w:lineRule="exact"/>
        <w:ind w:firstLine="562"/>
        <w:textAlignment w:val="auto"/>
        <w:rPr>
          <w:sz w:val="32"/>
          <w:szCs w:val="32"/>
        </w:rPr>
      </w:pPr>
      <w:r>
        <w:rPr>
          <w:b/>
          <w:bCs/>
          <w:sz w:val="32"/>
          <w:szCs w:val="32"/>
        </w:rPr>
        <w:t>管理制度健全性：</w:t>
      </w:r>
      <w:r>
        <w:rPr>
          <w:rFonts w:hint="eastAsia"/>
          <w:sz w:val="32"/>
          <w:szCs w:val="32"/>
        </w:rPr>
        <w:t>①</w:t>
      </w:r>
      <w:r>
        <w:rPr>
          <w:rFonts w:hint="eastAsia"/>
          <w:sz w:val="32"/>
          <w:szCs w:val="32"/>
          <w:lang w:eastAsia="zh-CN"/>
        </w:rPr>
        <w:t>三门峡</w:t>
      </w:r>
      <w:r>
        <w:rPr>
          <w:rFonts w:hint="eastAsia"/>
          <w:sz w:val="32"/>
          <w:szCs w:val="32"/>
        </w:rPr>
        <w:t>市民政局制定了《</w:t>
      </w:r>
      <w:r>
        <w:rPr>
          <w:rFonts w:hint="eastAsia"/>
          <w:sz w:val="32"/>
          <w:szCs w:val="32"/>
          <w:lang w:eastAsia="zh-CN"/>
        </w:rPr>
        <w:t>三门峡</w:t>
      </w:r>
      <w:r>
        <w:rPr>
          <w:rFonts w:hint="eastAsia"/>
          <w:sz w:val="32"/>
          <w:szCs w:val="32"/>
        </w:rPr>
        <w:t>市民政局财务管理制度》，以及《</w:t>
      </w:r>
      <w:r>
        <w:rPr>
          <w:rFonts w:hint="eastAsia"/>
          <w:sz w:val="32"/>
          <w:szCs w:val="32"/>
          <w:lang w:eastAsia="zh-CN"/>
        </w:rPr>
        <w:t>三门峡</w:t>
      </w:r>
      <w:r>
        <w:rPr>
          <w:rFonts w:hint="eastAsia"/>
          <w:sz w:val="32"/>
          <w:szCs w:val="32"/>
        </w:rPr>
        <w:t>市民政局专项资金管理办法》；②相关管理制度对部门预算管理、支出管理、财务审批、经费报销等提出了明确的要求，内容合法、合规、完整；③</w:t>
      </w:r>
      <w:r>
        <w:rPr>
          <w:rFonts w:hint="eastAsia"/>
          <w:sz w:val="32"/>
          <w:szCs w:val="32"/>
          <w:lang w:eastAsia="zh-CN"/>
        </w:rPr>
        <w:t>三门峡</w:t>
      </w:r>
      <w:r>
        <w:rPr>
          <w:rFonts w:hint="eastAsia"/>
          <w:sz w:val="32"/>
          <w:szCs w:val="32"/>
        </w:rPr>
        <w:t>市民政局在部门整体预算管理方面严格参照执行。根据评分规则，该指标得满分，即</w:t>
      </w:r>
      <w:r>
        <w:rPr>
          <w:sz w:val="32"/>
          <w:szCs w:val="32"/>
        </w:rPr>
        <w:t>5</w:t>
      </w:r>
      <w:r>
        <w:rPr>
          <w:rFonts w:hint="eastAsia"/>
          <w:sz w:val="32"/>
          <w:szCs w:val="32"/>
        </w:rPr>
        <w:t>分。</w:t>
      </w:r>
    </w:p>
    <w:p>
      <w:pPr>
        <w:pStyle w:val="12"/>
        <w:pageBreakBefore w:val="0"/>
        <w:kinsoku/>
        <w:wordWrap/>
        <w:overflowPunct/>
        <w:topLinePunct w:val="0"/>
        <w:autoSpaceDE/>
        <w:autoSpaceDN/>
        <w:bidi w:val="0"/>
        <w:spacing w:line="600" w:lineRule="exact"/>
        <w:ind w:firstLine="562"/>
        <w:textAlignment w:val="auto"/>
        <w:rPr>
          <w:sz w:val="32"/>
          <w:szCs w:val="32"/>
        </w:rPr>
      </w:pPr>
      <w:r>
        <w:rPr>
          <w:rFonts w:hint="eastAsia"/>
          <w:b/>
          <w:bCs/>
          <w:sz w:val="32"/>
          <w:szCs w:val="32"/>
        </w:rPr>
        <w:t>资金使用合规性：</w:t>
      </w:r>
      <w:r>
        <w:rPr>
          <w:rFonts w:hint="eastAsia"/>
          <w:sz w:val="32"/>
          <w:szCs w:val="32"/>
        </w:rPr>
        <w:t>①20</w:t>
      </w:r>
      <w:r>
        <w:rPr>
          <w:rFonts w:hint="eastAsia"/>
          <w:sz w:val="32"/>
          <w:szCs w:val="32"/>
          <w:lang w:val="en-US" w:eastAsia="zh-CN"/>
        </w:rPr>
        <w:t>21</w:t>
      </w:r>
      <w:r>
        <w:rPr>
          <w:rFonts w:hint="eastAsia"/>
          <w:sz w:val="32"/>
          <w:szCs w:val="32"/>
        </w:rPr>
        <w:t>年度</w:t>
      </w:r>
      <w:r>
        <w:rPr>
          <w:rFonts w:hint="eastAsia"/>
          <w:sz w:val="32"/>
          <w:szCs w:val="32"/>
          <w:lang w:eastAsia="zh-CN"/>
        </w:rPr>
        <w:t>三门峡</w:t>
      </w:r>
      <w:r>
        <w:rPr>
          <w:rFonts w:hint="eastAsia"/>
          <w:sz w:val="32"/>
          <w:szCs w:val="32"/>
        </w:rPr>
        <w:t>市民政局资金使用符合《</w:t>
      </w:r>
      <w:r>
        <w:rPr>
          <w:rFonts w:hint="eastAsia"/>
          <w:sz w:val="32"/>
          <w:szCs w:val="32"/>
          <w:lang w:eastAsia="zh-CN"/>
        </w:rPr>
        <w:t>三门峡</w:t>
      </w:r>
      <w:r>
        <w:rPr>
          <w:rFonts w:hint="eastAsia"/>
          <w:sz w:val="32"/>
          <w:szCs w:val="32"/>
        </w:rPr>
        <w:t>市民政局财务管理制度》，以及《</w:t>
      </w:r>
      <w:r>
        <w:rPr>
          <w:rFonts w:hint="eastAsia"/>
          <w:sz w:val="32"/>
          <w:szCs w:val="32"/>
          <w:lang w:eastAsia="zh-CN"/>
        </w:rPr>
        <w:t>三门峡</w:t>
      </w:r>
      <w:r>
        <w:rPr>
          <w:rFonts w:hint="eastAsia"/>
          <w:sz w:val="32"/>
          <w:szCs w:val="32"/>
        </w:rPr>
        <w:t>市民政局事业专项资金管理办法》的规定。②</w:t>
      </w:r>
      <w:r>
        <w:rPr>
          <w:rFonts w:hint="eastAsia"/>
          <w:sz w:val="32"/>
          <w:szCs w:val="32"/>
          <w:lang w:eastAsia="zh-CN"/>
        </w:rPr>
        <w:t>三门峡</w:t>
      </w:r>
      <w:r>
        <w:rPr>
          <w:rFonts w:hint="eastAsia"/>
          <w:sz w:val="32"/>
          <w:szCs w:val="32"/>
        </w:rPr>
        <w:t>市民政局在资金的拨付方面有完整的审批程序和手续；③项目的重大开支经过联合会领导及专家的评估论证；④符合部门预算批复的用途；⑤20</w:t>
      </w:r>
      <w:r>
        <w:rPr>
          <w:rFonts w:hint="eastAsia"/>
          <w:sz w:val="32"/>
          <w:szCs w:val="32"/>
          <w:lang w:val="en-US" w:eastAsia="zh-CN"/>
        </w:rPr>
        <w:t>21</w:t>
      </w:r>
      <w:r>
        <w:rPr>
          <w:rFonts w:hint="eastAsia"/>
          <w:sz w:val="32"/>
          <w:szCs w:val="32"/>
        </w:rPr>
        <w:t>年度</w:t>
      </w:r>
      <w:r>
        <w:rPr>
          <w:rFonts w:hint="eastAsia"/>
          <w:sz w:val="32"/>
          <w:szCs w:val="32"/>
          <w:lang w:eastAsia="zh-CN"/>
        </w:rPr>
        <w:t>三门峡</w:t>
      </w:r>
      <w:r>
        <w:rPr>
          <w:rFonts w:hint="eastAsia"/>
          <w:sz w:val="32"/>
          <w:szCs w:val="32"/>
        </w:rPr>
        <w:t>市民政局在资金使用过程中不存在截留、挤占、挪用、虚列支出等情况。根据评分规则，该指标得满分，即</w:t>
      </w:r>
      <w:r>
        <w:rPr>
          <w:sz w:val="32"/>
          <w:szCs w:val="32"/>
        </w:rPr>
        <w:t>5</w:t>
      </w:r>
      <w:r>
        <w:rPr>
          <w:rFonts w:hint="eastAsia"/>
          <w:sz w:val="32"/>
          <w:szCs w:val="32"/>
        </w:rPr>
        <w:t>分。</w:t>
      </w:r>
    </w:p>
    <w:p>
      <w:pPr>
        <w:pageBreakBefore w:val="0"/>
        <w:kinsoku/>
        <w:wordWrap/>
        <w:overflowPunct/>
        <w:topLinePunct w:val="0"/>
        <w:autoSpaceDE/>
        <w:autoSpaceDN/>
        <w:bidi w:val="0"/>
        <w:adjustRightInd w:val="0"/>
        <w:snapToGrid w:val="0"/>
        <w:spacing w:after="0" w:line="600" w:lineRule="exact"/>
        <w:ind w:firstLine="562"/>
        <w:textAlignment w:val="auto"/>
        <w:rPr>
          <w:rFonts w:ascii="Times New Roman" w:hAnsi="Times New Roman" w:eastAsia="仿宋_GB2312"/>
          <w:b/>
          <w:bCs/>
          <w:sz w:val="32"/>
          <w:szCs w:val="32"/>
        </w:rPr>
      </w:pPr>
      <w:r>
        <w:rPr>
          <w:rFonts w:ascii="Times New Roman" w:hAnsi="Times New Roman" w:eastAsia="仿宋_GB2312"/>
          <w:b/>
          <w:bCs/>
          <w:sz w:val="32"/>
          <w:szCs w:val="32"/>
        </w:rPr>
        <w:t>（3）</w:t>
      </w:r>
      <w:r>
        <w:rPr>
          <w:rFonts w:hint="eastAsia" w:ascii="Times New Roman" w:hAnsi="Times New Roman" w:eastAsia="仿宋_GB2312"/>
          <w:b/>
          <w:bCs/>
          <w:sz w:val="32"/>
          <w:szCs w:val="32"/>
        </w:rPr>
        <w:t>绩效</w:t>
      </w:r>
      <w:r>
        <w:rPr>
          <w:rFonts w:ascii="Times New Roman" w:hAnsi="Times New Roman" w:eastAsia="仿宋_GB2312"/>
          <w:b/>
          <w:bCs/>
          <w:sz w:val="32"/>
          <w:szCs w:val="32"/>
        </w:rPr>
        <w:t>管理</w:t>
      </w:r>
    </w:p>
    <w:p>
      <w:pPr>
        <w:pStyle w:val="12"/>
        <w:pageBreakBefore w:val="0"/>
        <w:kinsoku/>
        <w:wordWrap/>
        <w:overflowPunct/>
        <w:topLinePunct w:val="0"/>
        <w:autoSpaceDE/>
        <w:autoSpaceDN/>
        <w:bidi w:val="0"/>
        <w:spacing w:line="600" w:lineRule="exact"/>
        <w:ind w:firstLine="562"/>
        <w:textAlignment w:val="auto"/>
        <w:rPr>
          <w:rFonts w:hint="eastAsia" w:ascii="Times New Roman" w:hAnsi="Times New Roman" w:eastAsia="仿宋_GB2312" w:cs="Times New Roman"/>
          <w:kern w:val="2"/>
          <w:sz w:val="32"/>
          <w:szCs w:val="32"/>
          <w:lang w:val="en-US" w:eastAsia="zh-CN" w:bidi="ar-SA"/>
        </w:rPr>
      </w:pPr>
      <w:r>
        <w:rPr>
          <w:rFonts w:hint="eastAsia"/>
          <w:b/>
          <w:bCs/>
          <w:sz w:val="32"/>
          <w:szCs w:val="32"/>
        </w:rPr>
        <w:t>绩效监控</w:t>
      </w:r>
      <w:r>
        <w:rPr>
          <w:b/>
          <w:bCs/>
          <w:sz w:val="32"/>
          <w:szCs w:val="32"/>
        </w:rPr>
        <w:t>完成率：</w:t>
      </w:r>
      <w:r>
        <w:rPr>
          <w:rFonts w:hint="eastAsia" w:ascii="Times New Roman" w:hAnsi="Times New Roman" w:eastAsia="仿宋_GB2312" w:cs="Times New Roman"/>
          <w:kern w:val="2"/>
          <w:sz w:val="32"/>
          <w:szCs w:val="32"/>
          <w:lang w:val="en-US" w:eastAsia="zh-CN" w:bidi="ar-SA"/>
        </w:rPr>
        <w:t>三门峡市民政局在部门绩效监控管理方面严格参照执行。根据评分规则，该指标得满分，即5分。</w:t>
      </w:r>
    </w:p>
    <w:p>
      <w:pPr>
        <w:pageBreakBefore w:val="0"/>
        <w:kinsoku/>
        <w:wordWrap/>
        <w:overflowPunct/>
        <w:topLinePunct w:val="0"/>
        <w:autoSpaceDE/>
        <w:autoSpaceDN/>
        <w:bidi w:val="0"/>
        <w:adjustRightInd w:val="0"/>
        <w:snapToGrid w:val="0"/>
        <w:spacing w:after="0" w:line="600" w:lineRule="exact"/>
        <w:ind w:firstLine="562"/>
        <w:textAlignment w:val="auto"/>
        <w:rPr>
          <w:rFonts w:ascii="Times New Roman" w:hAnsi="Times New Roman" w:eastAsia="仿宋_GB2312"/>
          <w:sz w:val="32"/>
          <w:szCs w:val="32"/>
        </w:rPr>
      </w:pPr>
      <w:r>
        <w:rPr>
          <w:rFonts w:hint="eastAsia" w:ascii="仿宋" w:hAnsi="仿宋" w:eastAsia="仿宋"/>
          <w:b/>
          <w:bCs/>
          <w:sz w:val="32"/>
          <w:szCs w:val="32"/>
        </w:rPr>
        <w:t>绩效自评</w:t>
      </w:r>
      <w:r>
        <w:rPr>
          <w:rFonts w:ascii="仿宋" w:hAnsi="仿宋" w:eastAsia="仿宋"/>
          <w:b/>
          <w:bCs/>
          <w:sz w:val="32"/>
          <w:szCs w:val="32"/>
        </w:rPr>
        <w:t>完成率：</w:t>
      </w:r>
      <w:r>
        <w:rPr>
          <w:rFonts w:hint="eastAsia" w:ascii="仿宋" w:hAnsi="仿宋" w:eastAsia="仿宋"/>
          <w:sz w:val="32"/>
          <w:szCs w:val="32"/>
          <w:lang w:eastAsia="zh-CN"/>
        </w:rPr>
        <w:t>三门峡</w:t>
      </w:r>
      <w:r>
        <w:rPr>
          <w:rFonts w:hint="eastAsia" w:ascii="仿宋" w:hAnsi="仿宋" w:eastAsia="仿宋"/>
          <w:sz w:val="32"/>
          <w:szCs w:val="32"/>
        </w:rPr>
        <w:t>市民政局在绩效自评管</w:t>
      </w:r>
      <w:r>
        <w:rPr>
          <w:rFonts w:hint="eastAsia" w:ascii="Times New Roman" w:hAnsi="Times New Roman" w:eastAsia="仿宋_GB2312"/>
          <w:sz w:val="32"/>
          <w:szCs w:val="32"/>
        </w:rPr>
        <w:t>理方面，做到完整、合理、相符；根据评分规则，该指标得满分，即</w:t>
      </w:r>
      <w:r>
        <w:rPr>
          <w:rFonts w:ascii="Times New Roman" w:hAnsi="Times New Roman" w:eastAsia="仿宋_GB2312"/>
          <w:sz w:val="32"/>
          <w:szCs w:val="32"/>
        </w:rPr>
        <w:t>5</w:t>
      </w:r>
      <w:r>
        <w:rPr>
          <w:rFonts w:hint="eastAsia" w:ascii="Times New Roman" w:hAnsi="Times New Roman" w:eastAsia="仿宋_GB2312"/>
          <w:sz w:val="32"/>
          <w:szCs w:val="32"/>
        </w:rPr>
        <w:t>分。</w:t>
      </w:r>
    </w:p>
    <w:p>
      <w:pPr>
        <w:pStyle w:val="12"/>
        <w:pageBreakBefore w:val="0"/>
        <w:kinsoku/>
        <w:wordWrap/>
        <w:overflowPunct/>
        <w:topLinePunct w:val="0"/>
        <w:autoSpaceDE/>
        <w:autoSpaceDN/>
        <w:bidi w:val="0"/>
        <w:spacing w:line="600" w:lineRule="exact"/>
        <w:ind w:firstLine="562"/>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绩效自评完成率：</w:t>
      </w:r>
      <w:r>
        <w:rPr>
          <w:rFonts w:hint="eastAsia" w:ascii="Times New Roman" w:hAnsi="Times New Roman" w:eastAsia="仿宋_GB2312"/>
          <w:sz w:val="32"/>
          <w:szCs w:val="32"/>
        </w:rPr>
        <w:t>根据</w:t>
      </w:r>
      <w:r>
        <w:rPr>
          <w:rFonts w:hint="eastAsia" w:ascii="Times New Roman" w:hAnsi="Times New Roman" w:eastAsia="仿宋_GB2312"/>
          <w:sz w:val="32"/>
          <w:szCs w:val="32"/>
          <w:lang w:eastAsia="zh-CN"/>
        </w:rPr>
        <w:t>三门峡</w:t>
      </w:r>
      <w:r>
        <w:rPr>
          <w:rFonts w:hint="eastAsia" w:ascii="Times New Roman" w:hAnsi="Times New Roman" w:eastAsia="仿宋_GB2312"/>
          <w:sz w:val="32"/>
          <w:szCs w:val="32"/>
        </w:rPr>
        <w:t>市民政局20</w:t>
      </w:r>
      <w:r>
        <w:rPr>
          <w:rFonts w:hint="eastAsia" w:ascii="Times New Roman" w:hAnsi="Times New Roman" w:eastAsia="仿宋_GB2312"/>
          <w:sz w:val="32"/>
          <w:szCs w:val="32"/>
          <w:lang w:val="en-US" w:eastAsia="zh-CN"/>
        </w:rPr>
        <w:t>2</w:t>
      </w:r>
      <w:r>
        <w:rPr>
          <w:rFonts w:hint="eastAsia"/>
          <w:sz w:val="32"/>
          <w:szCs w:val="32"/>
          <w:lang w:val="en-US" w:eastAsia="zh-CN"/>
        </w:rPr>
        <w:t>1</w:t>
      </w:r>
      <w:r>
        <w:rPr>
          <w:rFonts w:hint="eastAsia" w:ascii="Times New Roman" w:hAnsi="Times New Roman" w:eastAsia="仿宋_GB2312"/>
          <w:sz w:val="32"/>
          <w:szCs w:val="32"/>
        </w:rPr>
        <w:t>年绩效管理，20</w:t>
      </w:r>
      <w:r>
        <w:rPr>
          <w:rFonts w:hint="eastAsia" w:ascii="Times New Roman" w:hAnsi="Times New Roman" w:eastAsia="仿宋_GB2312"/>
          <w:sz w:val="32"/>
          <w:szCs w:val="32"/>
          <w:lang w:val="en-US" w:eastAsia="zh-CN"/>
        </w:rPr>
        <w:t>2</w:t>
      </w:r>
      <w:r>
        <w:rPr>
          <w:rFonts w:hint="eastAsia"/>
          <w:sz w:val="32"/>
          <w:szCs w:val="32"/>
          <w:lang w:val="en-US" w:eastAsia="zh-CN"/>
        </w:rPr>
        <w:t>1</w:t>
      </w:r>
      <w:r>
        <w:rPr>
          <w:rFonts w:hint="eastAsia" w:ascii="Times New Roman" w:hAnsi="Times New Roman" w:eastAsia="仿宋_GB2312"/>
          <w:sz w:val="32"/>
          <w:szCs w:val="32"/>
        </w:rPr>
        <w:t>年</w:t>
      </w:r>
      <w:r>
        <w:rPr>
          <w:rFonts w:hint="eastAsia" w:ascii="Times New Roman" w:hAnsi="Times New Roman" w:eastAsia="仿宋_GB2312"/>
          <w:sz w:val="32"/>
          <w:szCs w:val="32"/>
          <w:lang w:eastAsia="zh-CN"/>
        </w:rPr>
        <w:t>三门峡</w:t>
      </w:r>
      <w:r>
        <w:rPr>
          <w:rFonts w:hint="eastAsia" w:ascii="Times New Roman" w:hAnsi="Times New Roman" w:eastAsia="仿宋_GB2312"/>
          <w:sz w:val="32"/>
          <w:szCs w:val="32"/>
        </w:rPr>
        <w:t>市民政局完成部门绩效评级。根据评分细则，该指标满分，即5分。</w:t>
      </w:r>
    </w:p>
    <w:p>
      <w:pPr>
        <w:pageBreakBefore w:val="0"/>
        <w:kinsoku/>
        <w:wordWrap/>
        <w:overflowPunct/>
        <w:topLinePunct w:val="0"/>
        <w:autoSpaceDE/>
        <w:autoSpaceDN/>
        <w:bidi w:val="0"/>
        <w:adjustRightInd w:val="0"/>
        <w:snapToGrid w:val="0"/>
        <w:spacing w:after="0" w:line="600" w:lineRule="exact"/>
        <w:ind w:firstLine="562"/>
        <w:textAlignment w:val="auto"/>
        <w:rPr>
          <w:rFonts w:ascii="Times New Roman" w:hAnsi="Times New Roman" w:eastAsia="仿宋_GB2312"/>
          <w:b/>
          <w:bCs/>
          <w:sz w:val="32"/>
          <w:szCs w:val="32"/>
        </w:rPr>
      </w:pPr>
      <w:r>
        <w:rPr>
          <w:rFonts w:ascii="Times New Roman" w:hAnsi="Times New Roman" w:eastAsia="仿宋_GB2312"/>
          <w:b/>
          <w:bCs/>
          <w:sz w:val="32"/>
          <w:szCs w:val="32"/>
        </w:rPr>
        <w:t>（4）</w:t>
      </w:r>
      <w:r>
        <w:rPr>
          <w:rFonts w:hint="eastAsia" w:ascii="Times New Roman" w:hAnsi="Times New Roman" w:eastAsia="仿宋_GB2312"/>
          <w:b/>
          <w:bCs/>
          <w:sz w:val="32"/>
          <w:szCs w:val="32"/>
        </w:rPr>
        <w:t>工作任务完成</w:t>
      </w:r>
    </w:p>
    <w:p>
      <w:pPr>
        <w:pStyle w:val="12"/>
        <w:pageBreakBefore w:val="0"/>
        <w:kinsoku/>
        <w:wordWrap/>
        <w:overflowPunct/>
        <w:topLinePunct w:val="0"/>
        <w:autoSpaceDE/>
        <w:autoSpaceDN/>
        <w:bidi w:val="0"/>
        <w:spacing w:line="600" w:lineRule="exact"/>
        <w:ind w:firstLine="562"/>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三门峡</w:t>
      </w:r>
      <w:r>
        <w:rPr>
          <w:rFonts w:hint="eastAsia" w:ascii="Times New Roman" w:hAnsi="Times New Roman" w:eastAsia="仿宋_GB2312"/>
          <w:sz w:val="32"/>
          <w:szCs w:val="32"/>
        </w:rPr>
        <w:t>市民政局工作任务按时完成、履职目标实现，得分10分</w:t>
      </w:r>
      <w:r>
        <w:rPr>
          <w:rFonts w:hint="eastAsia"/>
          <w:sz w:val="32"/>
          <w:szCs w:val="32"/>
          <w:lang w:eastAsia="zh-CN"/>
        </w:rPr>
        <w:t>。</w:t>
      </w:r>
    </w:p>
    <w:p>
      <w:pPr>
        <w:pageBreakBefore w:val="0"/>
        <w:kinsoku/>
        <w:wordWrap/>
        <w:overflowPunct/>
        <w:topLinePunct w:val="0"/>
        <w:autoSpaceDE/>
        <w:autoSpaceDN/>
        <w:bidi w:val="0"/>
        <w:adjustRightInd w:val="0"/>
        <w:snapToGrid w:val="0"/>
        <w:spacing w:after="0" w:line="600" w:lineRule="exact"/>
        <w:ind w:firstLine="562"/>
        <w:textAlignment w:val="auto"/>
        <w:rPr>
          <w:rFonts w:ascii="Times New Roman" w:hAnsi="Times New Roman" w:eastAsia="仿宋_GB2312"/>
          <w:sz w:val="32"/>
          <w:szCs w:val="32"/>
        </w:rPr>
      </w:pPr>
      <w:r>
        <w:rPr>
          <w:rFonts w:ascii="Times New Roman" w:hAnsi="Times New Roman" w:eastAsia="仿宋_GB2312"/>
          <w:b/>
          <w:bCs/>
          <w:sz w:val="32"/>
          <w:szCs w:val="32"/>
        </w:rPr>
        <w:t>（5）满意度</w:t>
      </w:r>
    </w:p>
    <w:p>
      <w:pPr>
        <w:pStyle w:val="12"/>
        <w:pageBreakBefore w:val="0"/>
        <w:kinsoku/>
        <w:wordWrap/>
        <w:overflowPunct/>
        <w:topLinePunct w:val="0"/>
        <w:autoSpaceDE/>
        <w:autoSpaceDN/>
        <w:bidi w:val="0"/>
        <w:spacing w:line="600" w:lineRule="exact"/>
        <w:ind w:firstLine="562"/>
        <w:textAlignment w:val="auto"/>
        <w:rPr>
          <w:rFonts w:ascii="Times New Roman" w:hAnsi="Times New Roman" w:eastAsia="仿宋_GB2312"/>
          <w:sz w:val="32"/>
          <w:szCs w:val="32"/>
        </w:rPr>
      </w:pPr>
      <w:r>
        <w:rPr>
          <w:rFonts w:hint="eastAsia" w:ascii="Times New Roman" w:hAnsi="Times New Roman" w:eastAsia="仿宋_GB2312"/>
          <w:b/>
          <w:bCs/>
          <w:sz w:val="32"/>
          <w:szCs w:val="32"/>
        </w:rPr>
        <w:t>困难群众救助服务受益人员满意度</w:t>
      </w:r>
      <w:r>
        <w:rPr>
          <w:rFonts w:ascii="Times New Roman" w:hAnsi="Times New Roman" w:eastAsia="仿宋_GB2312"/>
          <w:b/>
          <w:bCs/>
          <w:sz w:val="32"/>
          <w:szCs w:val="32"/>
        </w:rPr>
        <w:t>：</w:t>
      </w:r>
      <w:r>
        <w:rPr>
          <w:rFonts w:hint="eastAsia" w:ascii="Times New Roman" w:hAnsi="Times New Roman" w:eastAsia="仿宋_GB2312"/>
          <w:sz w:val="32"/>
          <w:szCs w:val="32"/>
        </w:rPr>
        <w:t>截至2</w:t>
      </w:r>
      <w:r>
        <w:rPr>
          <w:rFonts w:ascii="Times New Roman" w:hAnsi="Times New Roman" w:eastAsia="仿宋_GB2312"/>
          <w:sz w:val="32"/>
          <w:szCs w:val="32"/>
        </w:rPr>
        <w:t>0</w:t>
      </w:r>
      <w:r>
        <w:rPr>
          <w:rFonts w:hint="eastAsia" w:ascii="Times New Roman" w:hAnsi="Times New Roman" w:eastAsia="仿宋_GB2312"/>
          <w:sz w:val="32"/>
          <w:szCs w:val="32"/>
          <w:lang w:val="en-US" w:eastAsia="zh-CN"/>
        </w:rPr>
        <w:t>2</w:t>
      </w:r>
      <w:r>
        <w:rPr>
          <w:rFonts w:hint="eastAsia"/>
          <w:sz w:val="32"/>
          <w:szCs w:val="32"/>
          <w:lang w:val="en-US" w:eastAsia="zh-CN"/>
        </w:rPr>
        <w:t>1</w:t>
      </w:r>
      <w:r>
        <w:rPr>
          <w:rFonts w:hint="eastAsia" w:ascii="Times New Roman" w:hAnsi="Times New Roman" w:eastAsia="仿宋_GB2312"/>
          <w:sz w:val="32"/>
          <w:szCs w:val="32"/>
        </w:rPr>
        <w:t>年底，</w:t>
      </w:r>
      <w:r>
        <w:rPr>
          <w:rFonts w:hint="eastAsia" w:ascii="仿宋" w:hAnsi="仿宋" w:eastAsia="仿宋"/>
          <w:sz w:val="32"/>
          <w:szCs w:val="32"/>
          <w:lang w:eastAsia="zh-CN"/>
        </w:rPr>
        <w:t>三门峡</w:t>
      </w:r>
      <w:r>
        <w:rPr>
          <w:rFonts w:hint="eastAsia" w:ascii="仿宋" w:hAnsi="仿宋" w:eastAsia="仿宋"/>
          <w:sz w:val="32"/>
          <w:szCs w:val="32"/>
        </w:rPr>
        <w:t>市民政局</w:t>
      </w:r>
      <w:r>
        <w:rPr>
          <w:rFonts w:hint="eastAsia" w:ascii="Times New Roman" w:hAnsi="Times New Roman" w:eastAsia="仿宋_GB2312"/>
          <w:sz w:val="32"/>
          <w:szCs w:val="32"/>
        </w:rPr>
        <w:t>符合救助政策救助补贴发放资格的</w:t>
      </w:r>
      <w:r>
        <w:rPr>
          <w:rFonts w:ascii="Times New Roman" w:hAnsi="Times New Roman" w:eastAsia="仿宋_GB2312"/>
          <w:sz w:val="32"/>
          <w:szCs w:val="32"/>
        </w:rPr>
        <w:t>困难群众</w:t>
      </w:r>
      <w:r>
        <w:rPr>
          <w:rFonts w:hint="eastAsia" w:ascii="Times New Roman" w:hAnsi="Times New Roman" w:eastAsia="仿宋_GB2312"/>
          <w:sz w:val="32"/>
          <w:szCs w:val="32"/>
        </w:rPr>
        <w:t>，于20</w:t>
      </w:r>
      <w:r>
        <w:rPr>
          <w:rFonts w:hint="eastAsia" w:ascii="Times New Roman" w:hAnsi="Times New Roman" w:eastAsia="仿宋_GB2312"/>
          <w:sz w:val="32"/>
          <w:szCs w:val="32"/>
          <w:lang w:val="en-US" w:eastAsia="zh-CN"/>
        </w:rPr>
        <w:t>2</w:t>
      </w:r>
      <w:r>
        <w:rPr>
          <w:rFonts w:hint="eastAsia"/>
          <w:sz w:val="32"/>
          <w:szCs w:val="32"/>
          <w:lang w:val="en-US" w:eastAsia="zh-CN"/>
        </w:rPr>
        <w:t>1</w:t>
      </w:r>
      <w:r>
        <w:rPr>
          <w:rFonts w:hint="eastAsia" w:ascii="Times New Roman" w:hAnsi="Times New Roman" w:eastAsia="仿宋_GB2312"/>
          <w:sz w:val="32"/>
          <w:szCs w:val="32"/>
        </w:rPr>
        <w:t>年12月全数发放到位，受到困难群众整体反馈满意度为</w:t>
      </w:r>
      <w:r>
        <w:rPr>
          <w:rFonts w:hint="eastAsia"/>
          <w:sz w:val="32"/>
          <w:szCs w:val="32"/>
          <w:lang w:val="en-US" w:eastAsia="zh-CN"/>
        </w:rPr>
        <w:t>80</w:t>
      </w:r>
      <w:r>
        <w:rPr>
          <w:rFonts w:hint="eastAsia" w:ascii="Times New Roman" w:hAnsi="Times New Roman" w:eastAsia="仿宋_GB2312"/>
          <w:sz w:val="32"/>
          <w:szCs w:val="32"/>
        </w:rPr>
        <w:t>%。</w:t>
      </w:r>
      <w:r>
        <w:rPr>
          <w:rFonts w:ascii="Times New Roman" w:hAnsi="Times New Roman" w:eastAsia="仿宋_GB2312"/>
          <w:sz w:val="32"/>
          <w:szCs w:val="32"/>
        </w:rPr>
        <w:t>根据评分细则，该指标得</w:t>
      </w:r>
      <w:r>
        <w:rPr>
          <w:rFonts w:hint="eastAsia" w:ascii="Times New Roman" w:hAnsi="Times New Roman" w:eastAsia="仿宋_GB2312"/>
          <w:sz w:val="32"/>
          <w:szCs w:val="32"/>
        </w:rPr>
        <w:t>分5</w:t>
      </w:r>
      <w:r>
        <w:rPr>
          <w:rFonts w:ascii="Times New Roman" w:hAnsi="Times New Roman" w:eastAsia="仿宋_GB2312"/>
          <w:sz w:val="32"/>
          <w:szCs w:val="32"/>
        </w:rPr>
        <w:t>分。</w:t>
      </w:r>
    </w:p>
    <w:p>
      <w:pPr>
        <w:pStyle w:val="12"/>
        <w:pageBreakBefore w:val="0"/>
        <w:kinsoku/>
        <w:wordWrap/>
        <w:overflowPunct/>
        <w:topLinePunct w:val="0"/>
        <w:autoSpaceDE/>
        <w:autoSpaceDN/>
        <w:bidi w:val="0"/>
        <w:spacing w:line="600" w:lineRule="exact"/>
        <w:ind w:firstLine="562"/>
        <w:textAlignment w:val="auto"/>
        <w:rPr>
          <w:rFonts w:hint="eastAsia"/>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、存在的主要问题</w:t>
      </w:r>
    </w:p>
    <w:p>
      <w:pPr>
        <w:pStyle w:val="12"/>
        <w:pageBreakBefore w:val="0"/>
        <w:kinsoku/>
        <w:wordWrap/>
        <w:overflowPunct/>
        <w:topLinePunct w:val="0"/>
        <w:autoSpaceDE/>
        <w:autoSpaceDN/>
        <w:bidi w:val="0"/>
        <w:spacing w:line="600" w:lineRule="exact"/>
        <w:ind w:firstLine="562"/>
        <w:textAlignment w:val="auto"/>
        <w:rPr>
          <w:rFonts w:hint="eastAsia"/>
          <w:sz w:val="32"/>
          <w:szCs w:val="32"/>
        </w:rPr>
      </w:pPr>
      <w:r>
        <w:rPr>
          <w:rFonts w:hint="eastAsia"/>
          <w:sz w:val="32"/>
          <w:szCs w:val="32"/>
        </w:rPr>
        <w:t>项目预算支出</w:t>
      </w:r>
      <w:r>
        <w:rPr>
          <w:rFonts w:hint="eastAsia"/>
          <w:sz w:val="32"/>
          <w:szCs w:val="32"/>
          <w:lang w:val="en-US"/>
        </w:rPr>
        <w:t>和项目实施管理</w:t>
      </w:r>
      <w:r>
        <w:rPr>
          <w:rFonts w:hint="eastAsia"/>
          <w:sz w:val="32"/>
          <w:szCs w:val="32"/>
        </w:rPr>
        <w:t>待加强</w:t>
      </w:r>
      <w:r>
        <w:rPr>
          <w:rFonts w:hint="eastAsia"/>
          <w:sz w:val="32"/>
          <w:szCs w:val="32"/>
          <w:lang w:eastAsia="zh-CN"/>
        </w:rPr>
        <w:t>。三门峡</w:t>
      </w:r>
      <w:r>
        <w:rPr>
          <w:rFonts w:hint="eastAsia"/>
          <w:sz w:val="32"/>
          <w:szCs w:val="32"/>
        </w:rPr>
        <w:t>市民政局部分项目年初并未申报预算，制定了部分项目实施方案，但方案没有覆盖全部项目内容，缺少有明确时间节点的工作计划，对全年其他民政事业支出工作进度监控有所欠缺。</w:t>
      </w:r>
    </w:p>
    <w:p>
      <w:pPr>
        <w:pStyle w:val="12"/>
        <w:pageBreakBefore w:val="0"/>
        <w:kinsoku/>
        <w:wordWrap/>
        <w:overflowPunct/>
        <w:topLinePunct w:val="0"/>
        <w:autoSpaceDE/>
        <w:autoSpaceDN/>
        <w:bidi w:val="0"/>
        <w:spacing w:line="600" w:lineRule="exact"/>
        <w:ind w:firstLine="562"/>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、改进措施和有关建议</w:t>
      </w:r>
    </w:p>
    <w:p>
      <w:pPr>
        <w:pStyle w:val="12"/>
        <w:pageBreakBefore w:val="0"/>
        <w:kinsoku/>
        <w:wordWrap/>
        <w:overflowPunct/>
        <w:topLinePunct w:val="0"/>
        <w:autoSpaceDE/>
        <w:autoSpaceDN/>
        <w:bidi w:val="0"/>
        <w:spacing w:line="600" w:lineRule="exact"/>
        <w:textAlignment w:val="auto"/>
        <w:rPr>
          <w:rFonts w:hint="eastAsia"/>
          <w:sz w:val="32"/>
          <w:szCs w:val="32"/>
        </w:rPr>
      </w:pPr>
      <w:r>
        <w:rPr>
          <w:rFonts w:hint="eastAsia"/>
          <w:sz w:val="32"/>
          <w:szCs w:val="32"/>
        </w:rPr>
        <w:t>加强项目资金预算编制与项目实施管理</w:t>
      </w:r>
      <w:r>
        <w:rPr>
          <w:rFonts w:hint="eastAsia"/>
          <w:sz w:val="32"/>
          <w:szCs w:val="32"/>
          <w:lang w:eastAsia="zh-CN"/>
        </w:rPr>
        <w:t>，</w:t>
      </w:r>
      <w:r>
        <w:rPr>
          <w:rFonts w:hint="eastAsia"/>
          <w:sz w:val="32"/>
          <w:szCs w:val="32"/>
        </w:rPr>
        <w:t>建议</w:t>
      </w:r>
      <w:r>
        <w:rPr>
          <w:rFonts w:hint="eastAsia"/>
          <w:sz w:val="32"/>
          <w:szCs w:val="32"/>
          <w:lang w:eastAsia="zh-CN"/>
        </w:rPr>
        <w:t>三门峡</w:t>
      </w:r>
      <w:r>
        <w:rPr>
          <w:rFonts w:hint="eastAsia"/>
          <w:sz w:val="32"/>
          <w:szCs w:val="32"/>
        </w:rPr>
        <w:t>市民政局继续加强预算管理，结合下一年度的重点工作任务和实际需求进行预算编制。预算申报时，部门和项目支出做到细化量化，预算调整后，及时更新预算资金分配情况。</w:t>
      </w:r>
    </w:p>
    <w:p>
      <w:pPr>
        <w:pStyle w:val="12"/>
        <w:pageBreakBefore w:val="0"/>
        <w:kinsoku/>
        <w:wordWrap/>
        <w:overflowPunct/>
        <w:topLinePunct w:val="0"/>
        <w:autoSpaceDE/>
        <w:autoSpaceDN/>
        <w:bidi w:val="0"/>
        <w:spacing w:line="600" w:lineRule="exact"/>
        <w:textAlignment w:val="auto"/>
        <w:rPr>
          <w:rFonts w:hint="eastAsia" w:eastAsia="仿宋_GB2312"/>
          <w:sz w:val="32"/>
          <w:szCs w:val="32"/>
          <w:lang w:eastAsia="zh-CN"/>
        </w:rPr>
      </w:pPr>
      <w:r>
        <w:rPr>
          <w:rFonts w:hint="eastAsia"/>
          <w:sz w:val="32"/>
          <w:szCs w:val="32"/>
        </w:rPr>
        <w:t>此外，</w:t>
      </w:r>
      <w:r>
        <w:rPr>
          <w:rFonts w:hint="eastAsia"/>
          <w:sz w:val="32"/>
          <w:szCs w:val="32"/>
          <w:lang w:eastAsia="zh-CN"/>
        </w:rPr>
        <w:t>三门峡</w:t>
      </w:r>
      <w:r>
        <w:rPr>
          <w:rFonts w:hint="eastAsia"/>
          <w:sz w:val="32"/>
          <w:szCs w:val="32"/>
        </w:rPr>
        <w:t>市民政局</w:t>
      </w:r>
      <w:r>
        <w:rPr>
          <w:rFonts w:hint="eastAsia"/>
          <w:sz w:val="32"/>
          <w:szCs w:val="32"/>
          <w:lang w:val="en-US" w:eastAsia="zh-CN"/>
        </w:rPr>
        <w:t>会</w:t>
      </w:r>
      <w:r>
        <w:rPr>
          <w:rFonts w:hint="eastAsia"/>
          <w:sz w:val="32"/>
          <w:szCs w:val="32"/>
        </w:rPr>
        <w:t>提高项目管理科学化、精细化水平，建议制定全年具体的、有明确时间节点的工作计划，以此提高管理效率、明确工作内容。同时，应加强与上级单位、其他部门的沟通和联动，实时掌握项目动态，和基层群众的需求对全年重点工作进行全过程质量监控。在年度工作计划完成后比照绩效目标总结达成情况与偏差情况，通过不断纠偏纠错、总结反馈，建立一套科学、高效的管理机制</w:t>
      </w:r>
      <w:r>
        <w:rPr>
          <w:rFonts w:hint="eastAsia"/>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9BD0F5-6043-4EDB-83C2-C53D0CE9E2E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auto"/>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889E0FF-655D-4C1D-9B93-76E320B1F98C}"/>
  </w:font>
  <w:font w:name="方正小标宋简体">
    <w:panose1 w:val="02000000000000000000"/>
    <w:charset w:val="86"/>
    <w:family w:val="auto"/>
    <w:pitch w:val="default"/>
    <w:sig w:usb0="00000001" w:usb1="08000000" w:usb2="00000000" w:usb3="00000000" w:csb0="00040000" w:csb1="00000000"/>
    <w:embedRegular r:id="rId3" w:fontKey="{5C4C238A-A20D-4530-9F8F-23BEA2BBE682}"/>
  </w:font>
  <w:font w:name="微软雅黑">
    <w:panose1 w:val="020B0503020204020204"/>
    <w:charset w:val="86"/>
    <w:family w:val="auto"/>
    <w:pitch w:val="default"/>
    <w:sig w:usb0="80000287" w:usb1="280F3C52" w:usb2="00000016" w:usb3="00000000" w:csb0="0004001F" w:csb1="00000000"/>
    <w:embedRegular r:id="rId4" w:fontKey="{F6B57E5A-828E-4894-842D-C75C05EE4DC6}"/>
  </w:font>
  <w:font w:name="楷体">
    <w:panose1 w:val="02010609060101010101"/>
    <w:charset w:val="86"/>
    <w:family w:val="auto"/>
    <w:pitch w:val="default"/>
    <w:sig w:usb0="800002BF" w:usb1="38CF7CFA" w:usb2="00000016" w:usb3="00000000" w:csb0="00040001" w:csb1="00000000"/>
    <w:embedRegular r:id="rId5" w:fontKey="{F96A345A-E071-4D57-BCD9-ABF3260D602C}"/>
  </w:font>
  <w:font w:name="等线">
    <w:panose1 w:val="02010600030101010101"/>
    <w:charset w:val="86"/>
    <w:family w:val="auto"/>
    <w:pitch w:val="default"/>
    <w:sig w:usb0="A00002BF" w:usb1="38CF7CFA" w:usb2="00000016" w:usb3="00000000" w:csb0="0004000F" w:csb1="00000000"/>
    <w:embedRegular r:id="rId6" w:fontKey="{2B9456B2-A738-43E5-B82F-87DA8CD49E8E}"/>
  </w:font>
  <w:font w:name="仿宋">
    <w:panose1 w:val="02010609060101010101"/>
    <w:charset w:val="86"/>
    <w:family w:val="auto"/>
    <w:pitch w:val="default"/>
    <w:sig w:usb0="800002BF" w:usb1="38CF7CFA" w:usb2="00000016" w:usb3="00000000" w:csb0="00040001" w:csb1="00000000"/>
    <w:embedRegular r:id="rId7" w:fontKey="{00DA4772-45FC-44E7-9FCF-90081125DEE5}"/>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ind w:firstLine="420"/>
      </w:pPr>
      <w:r>
        <w:separator/>
      </w:r>
    </w:p>
  </w:footnote>
  <w:footnote w:type="continuationSeparator" w:id="1">
    <w:p>
      <w:pPr>
        <w:spacing w:before="0" w:after="0" w:line="259"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C40239"/>
    <w:multiLevelType w:val="multilevel"/>
    <w:tmpl w:val="3BC40239"/>
    <w:lvl w:ilvl="0" w:tentative="0">
      <w:start w:val="1"/>
      <w:numFmt w:val="japaneseCounting"/>
      <w:lvlText w:val="（%1）"/>
      <w:lvlJc w:val="left"/>
      <w:pPr>
        <w:ind w:left="1437" w:hanging="870"/>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5ZjBmMjkyY2I2ZmI4NTY0MGUxMDFkNzRhYzJiMGEifQ=="/>
  </w:docVars>
  <w:rsids>
    <w:rsidRoot w:val="00000000"/>
    <w:rsid w:val="0F724C42"/>
    <w:rsid w:val="169612E5"/>
    <w:rsid w:val="1A8251B8"/>
    <w:rsid w:val="1C525843"/>
    <w:rsid w:val="1C6B3D70"/>
    <w:rsid w:val="287B29C3"/>
    <w:rsid w:val="39D65018"/>
    <w:rsid w:val="3D321176"/>
    <w:rsid w:val="4D434363"/>
    <w:rsid w:val="505276F6"/>
    <w:rsid w:val="5E5C6E1B"/>
    <w:rsid w:val="6209055E"/>
    <w:rsid w:val="682149F2"/>
    <w:rsid w:val="727A2F69"/>
    <w:rsid w:val="7F686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ind w:firstLine="200" w:firstLineChars="200"/>
      <w:jc w:val="both"/>
    </w:pPr>
    <w:rPr>
      <w:rFonts w:ascii="Calibri" w:hAnsi="Calibri" w:eastAsia="宋体" w:cs="Times New Roman"/>
      <w:kern w:val="2"/>
      <w:sz w:val="21"/>
      <w:szCs w:val="22"/>
      <w:lang w:val="en-US" w:eastAsia="zh-CN" w:bidi="ar-SA"/>
    </w:rPr>
  </w:style>
  <w:style w:type="paragraph" w:styleId="4">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 Text First Indent 2"/>
    <w:basedOn w:val="3"/>
    <w:qFormat/>
    <w:uiPriority w:val="0"/>
    <w:pPr>
      <w:spacing w:after="0"/>
      <w:ind w:firstLine="200" w:firstLineChars="200"/>
    </w:pPr>
    <w:rPr>
      <w:rFonts w:hint="default" w:ascii="Times New Roman" w:hAnsi="Times New Roman" w:cs="Times New Roman"/>
    </w:rPr>
  </w:style>
  <w:style w:type="paragraph" w:styleId="3">
    <w:name w:val="Body Text Indent"/>
    <w:basedOn w:val="1"/>
    <w:qFormat/>
    <w:uiPriority w:val="0"/>
    <w:pPr>
      <w:widowControl w:val="0"/>
      <w:ind w:firstLine="200" w:firstLineChars="200"/>
      <w:jc w:val="both"/>
    </w:pPr>
    <w:rPr>
      <w:rFonts w:hint="default" w:ascii="仿宋_GB2312" w:hAnsi="Calibri" w:eastAsia="仿宋_GB2312" w:cs="Times New Roman"/>
      <w:sz w:val="30"/>
      <w:szCs w:val="20"/>
    </w:rPr>
  </w:style>
  <w:style w:type="paragraph" w:styleId="6">
    <w:name w:val="Normal (Web)"/>
    <w:basedOn w:val="1"/>
    <w:unhideWhenUsed/>
    <w:qFormat/>
    <w:uiPriority w:val="99"/>
    <w:pPr>
      <w:spacing w:before="100" w:beforeAutospacing="1" w:after="100" w:afterAutospacing="1" w:line="240" w:lineRule="auto"/>
      <w:ind w:firstLine="0" w:firstLineChars="0"/>
      <w:jc w:val="left"/>
    </w:pPr>
    <w:rPr>
      <w:rFonts w:ascii="宋体" w:hAnsi="宋体" w:cs="宋体"/>
      <w:kern w:val="0"/>
      <w:sz w:val="24"/>
      <w:szCs w:val="24"/>
    </w:rPr>
  </w:style>
  <w:style w:type="character" w:customStyle="1" w:styleId="9">
    <w:name w:val="ask-title"/>
    <w:basedOn w:val="8"/>
    <w:qFormat/>
    <w:uiPriority w:val="0"/>
  </w:style>
  <w:style w:type="paragraph" w:customStyle="1" w:styleId="10">
    <w:name w:val="闻政标题3"/>
    <w:basedOn w:val="5"/>
    <w:qFormat/>
    <w:uiPriority w:val="0"/>
    <w:pPr>
      <w:spacing w:before="120" w:after="60" w:line="500" w:lineRule="exact"/>
      <w:jc w:val="left"/>
      <w:outlineLvl w:val="0"/>
    </w:pPr>
    <w:rPr>
      <w:rFonts w:ascii="黑体" w:hAnsi="黑体" w:eastAsia="黑体"/>
      <w:kern w:val="0"/>
      <w:lang w:val="zh-CN"/>
    </w:rPr>
  </w:style>
  <w:style w:type="paragraph" w:customStyle="1" w:styleId="11">
    <w:name w:val="闻政标题4"/>
    <w:basedOn w:val="4"/>
    <w:qFormat/>
    <w:uiPriority w:val="0"/>
    <w:pPr>
      <w:widowControl w:val="0"/>
      <w:spacing w:before="120" w:after="60" w:line="500" w:lineRule="exact"/>
      <w:jc w:val="left"/>
    </w:pPr>
    <w:rPr>
      <w:rFonts w:ascii="Times New Roman" w:hAnsi="Times New Roman" w:eastAsia="仿宋_GB2312" w:cs="Times New Roman"/>
      <w:kern w:val="0"/>
      <w:sz w:val="28"/>
      <w:lang w:val="zh-CN"/>
    </w:rPr>
  </w:style>
  <w:style w:type="paragraph" w:customStyle="1" w:styleId="12">
    <w:name w:val="闻政正文"/>
    <w:basedOn w:val="1"/>
    <w:qFormat/>
    <w:uiPriority w:val="0"/>
    <w:pPr>
      <w:spacing w:after="0" w:line="500" w:lineRule="exact"/>
    </w:pPr>
    <w:rPr>
      <w:rFonts w:ascii="Times New Roman" w:hAnsi="Times New Roman" w:eastAsia="仿宋_GB2312"/>
      <w:sz w:val="28"/>
      <w:szCs w:val="28"/>
    </w:rPr>
  </w:style>
  <w:style w:type="paragraph" w:customStyle="1" w:styleId="13">
    <w:name w:val="闻政表"/>
    <w:basedOn w:val="1"/>
    <w:qFormat/>
    <w:uiPriority w:val="0"/>
    <w:pPr>
      <w:widowControl w:val="0"/>
      <w:spacing w:before="60" w:after="60" w:line="500" w:lineRule="exact"/>
      <w:jc w:val="center"/>
    </w:pPr>
    <w:rPr>
      <w:rFonts w:ascii="Times New Roman" w:hAnsi="Times New Roman" w:eastAsia="仿宋_GB2312"/>
      <w:b/>
      <w:kern w:val="0"/>
      <w:sz w:val="24"/>
      <w:szCs w:val="28"/>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7465</Words>
  <Characters>7930</Characters>
  <Lines>0</Lines>
  <Paragraphs>0</Paragraphs>
  <TotalTime>7</TotalTime>
  <ScaleCrop>false</ScaleCrop>
  <LinksUpToDate>false</LinksUpToDate>
  <CharactersWithSpaces>7934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2021-06-15T08:47:00Z</dcterms:created>
  <dc:creator>Lenovo</dc:creator>
  <cp:lastModifiedBy>似是故人来1387805575</cp:lastModifiedBy>
  <dcterms:modified xsi:type="dcterms:W3CDTF">2023-05-16T10:31:25Z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34E0A679D27B43048715C2F6E1D98362</vt:lpwstr>
  </property>
</Properties>
</file>